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826" w:rsidRPr="00604E7C" w:rsidRDefault="00B57826" w:rsidP="00B57826">
      <w:pPr>
        <w:jc w:val="right"/>
        <w:rPr>
          <w:rFonts w:ascii="Arial" w:hAnsi="Arial" w:cs="Arial"/>
          <w:b/>
          <w:sz w:val="24"/>
          <w:szCs w:val="24"/>
        </w:rPr>
      </w:pPr>
      <w:r w:rsidRPr="00604E7C">
        <w:rPr>
          <w:rFonts w:ascii="Arial" w:hAnsi="Arial" w:cs="Arial"/>
          <w:b/>
          <w:sz w:val="24"/>
          <w:szCs w:val="24"/>
        </w:rPr>
        <w:t xml:space="preserve">Formular </w:t>
      </w:r>
      <w:r w:rsidR="00A86D8F" w:rsidRPr="00604E7C">
        <w:rPr>
          <w:rFonts w:ascii="Arial" w:hAnsi="Arial" w:cs="Arial"/>
          <w:b/>
          <w:sz w:val="24"/>
          <w:szCs w:val="24"/>
        </w:rPr>
        <w:t xml:space="preserve">nr. </w:t>
      </w:r>
      <w:r w:rsidRPr="00604E7C">
        <w:rPr>
          <w:rFonts w:ascii="Arial" w:hAnsi="Arial" w:cs="Arial"/>
          <w:b/>
          <w:sz w:val="24"/>
          <w:szCs w:val="24"/>
        </w:rPr>
        <w:t>3</w:t>
      </w:r>
    </w:p>
    <w:p w:rsidR="00B57826" w:rsidRPr="00604E7C" w:rsidRDefault="00B57826" w:rsidP="00C82E86">
      <w:pPr>
        <w:jc w:val="center"/>
        <w:rPr>
          <w:rFonts w:ascii="Arial" w:hAnsi="Arial" w:cs="Arial"/>
          <w:sz w:val="24"/>
          <w:szCs w:val="24"/>
        </w:rPr>
      </w:pPr>
    </w:p>
    <w:p w:rsidR="00A943EE" w:rsidRPr="00604E7C" w:rsidRDefault="00C82E86" w:rsidP="00C82E86">
      <w:pPr>
        <w:jc w:val="center"/>
        <w:rPr>
          <w:rFonts w:ascii="Arial" w:hAnsi="Arial" w:cs="Arial"/>
          <w:sz w:val="32"/>
          <w:szCs w:val="24"/>
        </w:rPr>
      </w:pPr>
      <w:r w:rsidRPr="00604E7C">
        <w:rPr>
          <w:rFonts w:ascii="Arial" w:hAnsi="Arial" w:cs="Arial"/>
          <w:sz w:val="32"/>
          <w:szCs w:val="24"/>
        </w:rPr>
        <w:t>Antet ofertant</w:t>
      </w:r>
    </w:p>
    <w:p w:rsidR="00C82E86" w:rsidRPr="000E6A1A" w:rsidRDefault="000E6A1A">
      <w:pPr>
        <w:rPr>
          <w:rFonts w:ascii="Arial" w:hAnsi="Arial" w:cs="Arial"/>
        </w:rPr>
      </w:pPr>
      <w:r w:rsidRPr="000E6A1A">
        <w:rPr>
          <w:rFonts w:ascii="Arial" w:hAnsi="Arial" w:cs="Arial"/>
        </w:rPr>
        <w:t>O</w:t>
      </w:r>
      <w:r w:rsidR="00C82E86" w:rsidRPr="000E6A1A">
        <w:rPr>
          <w:rFonts w:ascii="Arial" w:hAnsi="Arial" w:cs="Arial"/>
        </w:rPr>
        <w:t>fertant:</w:t>
      </w:r>
      <w:r w:rsidR="00C82E86" w:rsidRPr="000E6A1A">
        <w:rPr>
          <w:rFonts w:ascii="Arial" w:hAnsi="Arial" w:cs="Arial"/>
        </w:rPr>
        <w:tab/>
        <w:t>Denumire,</w:t>
      </w:r>
    </w:p>
    <w:p w:rsidR="00C82E86" w:rsidRPr="000E6A1A" w:rsidRDefault="00C82E86" w:rsidP="00C82E86">
      <w:pPr>
        <w:ind w:left="708" w:firstLine="708"/>
        <w:rPr>
          <w:rFonts w:ascii="Arial" w:hAnsi="Arial" w:cs="Arial"/>
        </w:rPr>
      </w:pPr>
      <w:r w:rsidRPr="000E6A1A">
        <w:rPr>
          <w:rFonts w:ascii="Arial" w:hAnsi="Arial" w:cs="Arial"/>
        </w:rPr>
        <w:t>Adresă</w:t>
      </w:r>
    </w:p>
    <w:p w:rsidR="00C82E86" w:rsidRPr="000E6A1A" w:rsidRDefault="00C82E86" w:rsidP="00C82E86">
      <w:pPr>
        <w:ind w:left="708" w:firstLine="708"/>
        <w:rPr>
          <w:rFonts w:ascii="Arial" w:hAnsi="Arial" w:cs="Arial"/>
        </w:rPr>
      </w:pPr>
      <w:r w:rsidRPr="000E6A1A">
        <w:rPr>
          <w:rFonts w:ascii="Arial" w:hAnsi="Arial" w:cs="Arial"/>
        </w:rPr>
        <w:t>Alte date de identificare</w:t>
      </w:r>
    </w:p>
    <w:p w:rsidR="00EB13AB" w:rsidRPr="000E6A1A" w:rsidRDefault="00EB13AB">
      <w:pPr>
        <w:rPr>
          <w:rFonts w:ascii="Arial" w:hAnsi="Arial" w:cs="Arial"/>
        </w:rPr>
      </w:pPr>
    </w:p>
    <w:p w:rsidR="00EB13AB" w:rsidRPr="000E6A1A" w:rsidRDefault="00EB13AB" w:rsidP="00EB13AB">
      <w:pPr>
        <w:jc w:val="center"/>
        <w:rPr>
          <w:rFonts w:ascii="Arial" w:hAnsi="Arial" w:cs="Arial"/>
          <w:b/>
          <w:sz w:val="24"/>
        </w:rPr>
      </w:pPr>
      <w:r w:rsidRPr="000E6A1A">
        <w:rPr>
          <w:rFonts w:ascii="Arial" w:hAnsi="Arial" w:cs="Arial"/>
          <w:b/>
          <w:sz w:val="24"/>
        </w:rPr>
        <w:t xml:space="preserve">OFERTĂ </w:t>
      </w:r>
      <w:r w:rsidR="00AC73A6" w:rsidRPr="000E6A1A">
        <w:rPr>
          <w:rFonts w:ascii="Arial" w:hAnsi="Arial" w:cs="Arial"/>
          <w:b/>
          <w:sz w:val="24"/>
        </w:rPr>
        <w:t>TEHNICĂ</w:t>
      </w:r>
    </w:p>
    <w:p w:rsidR="000E6A1A" w:rsidRPr="000E6A1A" w:rsidRDefault="000E6A1A" w:rsidP="000E6A1A">
      <w:pPr>
        <w:tabs>
          <w:tab w:val="left" w:pos="240"/>
        </w:tabs>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881"/>
        <w:gridCol w:w="3006"/>
      </w:tblGrid>
      <w:tr w:rsidR="000E6A1A" w:rsidRPr="000E6A1A" w:rsidTr="00C27C7D">
        <w:trPr>
          <w:jc w:val="center"/>
        </w:trPr>
        <w:tc>
          <w:tcPr>
            <w:tcW w:w="1129" w:type="dxa"/>
            <w:shd w:val="clear" w:color="auto" w:fill="auto"/>
            <w:vAlign w:val="center"/>
          </w:tcPr>
          <w:p w:rsidR="000E6A1A" w:rsidRPr="000E6A1A" w:rsidRDefault="000E6A1A" w:rsidP="00C27C7D">
            <w:pPr>
              <w:jc w:val="center"/>
              <w:rPr>
                <w:rFonts w:ascii="Arial" w:eastAsia="Calibri" w:hAnsi="Arial" w:cs="Arial"/>
                <w:b/>
              </w:rPr>
            </w:pPr>
            <w:r w:rsidRPr="000E6A1A">
              <w:rPr>
                <w:rFonts w:ascii="Arial" w:eastAsia="Calibri" w:hAnsi="Arial" w:cs="Arial"/>
                <w:b/>
              </w:rPr>
              <w:t>Nr. Crt.</w:t>
            </w:r>
          </w:p>
        </w:tc>
        <w:tc>
          <w:tcPr>
            <w:tcW w:w="4881" w:type="dxa"/>
            <w:shd w:val="clear" w:color="auto" w:fill="auto"/>
            <w:vAlign w:val="center"/>
          </w:tcPr>
          <w:p w:rsidR="000E6A1A" w:rsidRPr="000E6A1A" w:rsidRDefault="000E6A1A" w:rsidP="00C27C7D">
            <w:pPr>
              <w:jc w:val="center"/>
              <w:rPr>
                <w:rFonts w:ascii="Arial" w:eastAsia="Calibri" w:hAnsi="Arial" w:cs="Arial"/>
                <w:b/>
              </w:rPr>
            </w:pPr>
            <w:r w:rsidRPr="000E6A1A">
              <w:rPr>
                <w:rFonts w:ascii="Arial" w:eastAsia="Calibri" w:hAnsi="Arial" w:cs="Arial"/>
                <w:b/>
              </w:rPr>
              <w:t>Criteriu</w:t>
            </w:r>
          </w:p>
        </w:tc>
        <w:tc>
          <w:tcPr>
            <w:tcW w:w="3006" w:type="dxa"/>
            <w:shd w:val="clear" w:color="auto" w:fill="auto"/>
            <w:vAlign w:val="center"/>
          </w:tcPr>
          <w:p w:rsidR="000E6A1A" w:rsidRPr="000E6A1A" w:rsidRDefault="000E6A1A" w:rsidP="00C27C7D">
            <w:pPr>
              <w:jc w:val="center"/>
              <w:rPr>
                <w:rFonts w:ascii="Arial" w:eastAsia="Calibri" w:hAnsi="Arial" w:cs="Arial"/>
                <w:b/>
              </w:rPr>
            </w:pPr>
            <w:r w:rsidRPr="000E6A1A">
              <w:rPr>
                <w:rFonts w:ascii="Arial" w:eastAsia="Calibri" w:hAnsi="Arial" w:cs="Arial"/>
                <w:b/>
              </w:rPr>
              <w:t>Cotație</w:t>
            </w:r>
          </w:p>
          <w:p w:rsidR="000E6A1A" w:rsidRPr="000E6A1A" w:rsidRDefault="000E6A1A" w:rsidP="00C27C7D">
            <w:pPr>
              <w:jc w:val="center"/>
              <w:rPr>
                <w:rFonts w:ascii="Arial" w:eastAsia="Calibri" w:hAnsi="Arial" w:cs="Arial"/>
                <w:b/>
              </w:rPr>
            </w:pPr>
            <w:r w:rsidRPr="000E6A1A">
              <w:rPr>
                <w:rFonts w:ascii="Arial" w:eastAsia="Calibri" w:hAnsi="Arial" w:cs="Arial"/>
                <w:b/>
              </w:rPr>
              <w:t>(%)</w:t>
            </w:r>
          </w:p>
        </w:tc>
      </w:tr>
      <w:tr w:rsidR="000E6A1A" w:rsidRPr="000E6A1A" w:rsidTr="00AB0847">
        <w:trPr>
          <w:jc w:val="center"/>
        </w:trPr>
        <w:tc>
          <w:tcPr>
            <w:tcW w:w="1129" w:type="dxa"/>
            <w:shd w:val="clear" w:color="auto" w:fill="auto"/>
            <w:vAlign w:val="center"/>
          </w:tcPr>
          <w:p w:rsidR="000E6A1A" w:rsidRPr="000E6A1A" w:rsidRDefault="000E6A1A" w:rsidP="00C27C7D">
            <w:pPr>
              <w:jc w:val="center"/>
              <w:rPr>
                <w:rFonts w:ascii="Arial" w:eastAsia="Calibri" w:hAnsi="Arial" w:cs="Arial"/>
              </w:rPr>
            </w:pPr>
          </w:p>
          <w:p w:rsidR="000E6A1A" w:rsidRPr="000E6A1A" w:rsidRDefault="000E6A1A" w:rsidP="00C27C7D">
            <w:pPr>
              <w:jc w:val="center"/>
              <w:rPr>
                <w:rFonts w:ascii="Arial" w:eastAsia="Calibri" w:hAnsi="Arial" w:cs="Arial"/>
              </w:rPr>
            </w:pPr>
            <w:r w:rsidRPr="000E6A1A">
              <w:rPr>
                <w:rFonts w:ascii="Arial" w:eastAsia="Calibri" w:hAnsi="Arial" w:cs="Arial"/>
              </w:rPr>
              <w:t>1.</w:t>
            </w:r>
          </w:p>
          <w:p w:rsidR="000E6A1A" w:rsidRPr="000E6A1A" w:rsidRDefault="000E6A1A" w:rsidP="00C27C7D">
            <w:pPr>
              <w:jc w:val="center"/>
              <w:rPr>
                <w:rFonts w:ascii="Arial" w:eastAsia="Calibri" w:hAnsi="Arial" w:cs="Arial"/>
              </w:rPr>
            </w:pPr>
          </w:p>
        </w:tc>
        <w:tc>
          <w:tcPr>
            <w:tcW w:w="4881" w:type="dxa"/>
            <w:shd w:val="clear" w:color="auto" w:fill="auto"/>
            <w:vAlign w:val="center"/>
          </w:tcPr>
          <w:p w:rsidR="000E6A1A" w:rsidRPr="000E6A1A" w:rsidRDefault="00AB0847" w:rsidP="00AB0847">
            <w:pPr>
              <w:spacing w:after="0"/>
              <w:rPr>
                <w:rFonts w:ascii="Arial" w:eastAsia="Calibri" w:hAnsi="Arial" w:cs="Arial"/>
              </w:rPr>
            </w:pPr>
            <w:r w:rsidRPr="00AB0847">
              <w:rPr>
                <w:rFonts w:ascii="Arial" w:eastAsia="Calibri" w:hAnsi="Arial" w:cs="Arial"/>
              </w:rPr>
              <w:t>Valoarea maximă a cuponului fix anual exprimată ca Marja față de ”Rata medie de referință” publicată de BNR pentru Titluri de Stat cu maturitatea de 10 ani</w:t>
            </w:r>
          </w:p>
        </w:tc>
        <w:tc>
          <w:tcPr>
            <w:tcW w:w="3006" w:type="dxa"/>
            <w:shd w:val="clear" w:color="auto" w:fill="auto"/>
            <w:vAlign w:val="center"/>
          </w:tcPr>
          <w:p w:rsidR="000E6A1A" w:rsidRPr="000E6A1A" w:rsidRDefault="000E6A1A" w:rsidP="00C27C7D">
            <w:pPr>
              <w:jc w:val="center"/>
              <w:rPr>
                <w:rFonts w:ascii="Arial" w:eastAsia="Calibri" w:hAnsi="Arial" w:cs="Arial"/>
                <w:b/>
              </w:rPr>
            </w:pPr>
            <w:r w:rsidRPr="000E6A1A">
              <w:rPr>
                <w:rFonts w:ascii="Arial" w:eastAsia="Calibri" w:hAnsi="Arial" w:cs="Arial"/>
                <w:b/>
              </w:rPr>
              <w:t>*</w:t>
            </w:r>
          </w:p>
          <w:p w:rsidR="000E6A1A" w:rsidRPr="000E6A1A" w:rsidRDefault="000E6A1A" w:rsidP="00C27C7D">
            <w:pPr>
              <w:jc w:val="center"/>
              <w:rPr>
                <w:rFonts w:ascii="Arial" w:eastAsia="Calibri" w:hAnsi="Arial" w:cs="Arial"/>
                <w:b/>
              </w:rPr>
            </w:pPr>
            <w:r w:rsidRPr="000E6A1A">
              <w:rPr>
                <w:rFonts w:ascii="Arial" w:eastAsia="Calibri" w:hAnsi="Arial" w:cs="Arial"/>
                <w:b/>
              </w:rPr>
              <w:t>**</w:t>
            </w:r>
          </w:p>
        </w:tc>
      </w:tr>
      <w:tr w:rsidR="000E6A1A" w:rsidRPr="000E6A1A" w:rsidTr="00C27C7D">
        <w:trPr>
          <w:jc w:val="center"/>
        </w:trPr>
        <w:tc>
          <w:tcPr>
            <w:tcW w:w="1129" w:type="dxa"/>
            <w:shd w:val="clear" w:color="auto" w:fill="auto"/>
            <w:vAlign w:val="center"/>
          </w:tcPr>
          <w:p w:rsidR="000E6A1A" w:rsidRPr="000E6A1A" w:rsidRDefault="000E6A1A" w:rsidP="00C27C7D">
            <w:pPr>
              <w:jc w:val="center"/>
              <w:rPr>
                <w:rFonts w:ascii="Arial" w:eastAsia="Calibri" w:hAnsi="Arial" w:cs="Arial"/>
              </w:rPr>
            </w:pPr>
            <w:r w:rsidRPr="000E6A1A">
              <w:rPr>
                <w:rFonts w:ascii="Arial" w:eastAsia="Calibri" w:hAnsi="Arial" w:cs="Arial"/>
              </w:rPr>
              <w:t>2.</w:t>
            </w:r>
          </w:p>
        </w:tc>
        <w:tc>
          <w:tcPr>
            <w:tcW w:w="4881" w:type="dxa"/>
            <w:shd w:val="clear" w:color="auto" w:fill="auto"/>
            <w:vAlign w:val="center"/>
          </w:tcPr>
          <w:p w:rsidR="000E6A1A" w:rsidRPr="000E6A1A" w:rsidRDefault="000E6A1A" w:rsidP="00C27C7D">
            <w:pPr>
              <w:rPr>
                <w:rFonts w:ascii="Arial" w:eastAsia="Calibri" w:hAnsi="Arial" w:cs="Arial"/>
              </w:rPr>
            </w:pPr>
          </w:p>
          <w:p w:rsidR="000E6A1A" w:rsidRPr="000E6A1A" w:rsidRDefault="000E6A1A" w:rsidP="00C27C7D">
            <w:pPr>
              <w:jc w:val="both"/>
              <w:rPr>
                <w:rFonts w:ascii="Arial" w:eastAsia="Calibri" w:hAnsi="Arial" w:cs="Arial"/>
              </w:rPr>
            </w:pPr>
            <w:r w:rsidRPr="000E6A1A">
              <w:rPr>
                <w:rFonts w:ascii="Arial" w:eastAsia="Calibri" w:hAnsi="Arial" w:cs="Arial"/>
              </w:rPr>
              <w:t>Procentul din valoarea totală a emisiunii de obligațiuni pe care ofertantul intenționează ferm să îl subscrie pe piața primară, la nivelul de cupon maxim propus în Oferta tehnică</w:t>
            </w:r>
          </w:p>
          <w:p w:rsidR="000E6A1A" w:rsidRPr="000E6A1A" w:rsidRDefault="000E6A1A" w:rsidP="00C27C7D">
            <w:pPr>
              <w:rPr>
                <w:rFonts w:ascii="Arial" w:eastAsia="Calibri" w:hAnsi="Arial" w:cs="Arial"/>
              </w:rPr>
            </w:pPr>
          </w:p>
        </w:tc>
        <w:tc>
          <w:tcPr>
            <w:tcW w:w="3006" w:type="dxa"/>
            <w:shd w:val="clear" w:color="auto" w:fill="auto"/>
            <w:vAlign w:val="center"/>
          </w:tcPr>
          <w:p w:rsidR="000E6A1A" w:rsidRPr="000E6A1A" w:rsidRDefault="000E6A1A" w:rsidP="00C27C7D">
            <w:pPr>
              <w:jc w:val="center"/>
              <w:rPr>
                <w:rFonts w:ascii="Arial" w:eastAsia="Calibri" w:hAnsi="Arial" w:cs="Arial"/>
              </w:rPr>
            </w:pPr>
            <w:r w:rsidRPr="000E6A1A">
              <w:rPr>
                <w:rFonts w:ascii="Arial" w:eastAsia="Calibri" w:hAnsi="Arial" w:cs="Arial"/>
              </w:rPr>
              <w:t>***</w:t>
            </w:r>
          </w:p>
        </w:tc>
      </w:tr>
    </w:tbl>
    <w:p w:rsidR="000E6A1A" w:rsidRPr="000E6A1A" w:rsidRDefault="000E6A1A" w:rsidP="000E6A1A">
      <w:pPr>
        <w:spacing w:after="0"/>
        <w:jc w:val="both"/>
        <w:rPr>
          <w:rFonts w:ascii="Arial" w:hAnsi="Arial" w:cs="Arial"/>
          <w:i/>
        </w:rPr>
      </w:pPr>
      <w:r w:rsidRPr="000E6A1A">
        <w:rPr>
          <w:rFonts w:ascii="Arial" w:hAnsi="Arial" w:cs="Arial"/>
          <w:i/>
        </w:rPr>
        <w:t xml:space="preserve"> *  Se va completa valoarea maximă propusă a marjei pozitive sau negative, procentuale, cu două zecimale care adunată/scăzută la/din ”Rata medie de referință publicată de BNR” pentru Titluri de Stat cu maturitatea de 10 ani pe pagina </w:t>
      </w:r>
      <w:hyperlink r:id="rId4" w:history="1">
        <w:r w:rsidRPr="000E6A1A">
          <w:rPr>
            <w:rStyle w:val="Hyperlink"/>
            <w:rFonts w:ascii="Arial" w:hAnsi="Arial" w:cs="Arial"/>
            <w:i/>
          </w:rPr>
          <w:t>https://www.bnr.ro/Titluri-de-stat---rate-de-referinta-(fixing)-6332.aspx</w:t>
        </w:r>
      </w:hyperlink>
      <w:r w:rsidRPr="000E6A1A">
        <w:rPr>
          <w:rFonts w:ascii="Arial" w:hAnsi="Arial" w:cs="Arial"/>
          <w:i/>
        </w:rPr>
        <w:t xml:space="preserve"> </w:t>
      </w:r>
      <w:r w:rsidR="00AB0847" w:rsidRPr="00AB0847">
        <w:rPr>
          <w:rFonts w:ascii="Arial" w:hAnsi="Arial" w:cs="Arial"/>
          <w:i/>
        </w:rPr>
        <w:t>va genera ”Valoarea maximă a cuponului fix anual” ce va fi considerată criteriu de evaluare</w:t>
      </w:r>
    </w:p>
    <w:p w:rsidR="000E6A1A" w:rsidRPr="000E6A1A" w:rsidRDefault="000E6A1A" w:rsidP="000E6A1A">
      <w:pPr>
        <w:spacing w:after="0"/>
        <w:jc w:val="both"/>
        <w:rPr>
          <w:rFonts w:ascii="Arial" w:hAnsi="Arial" w:cs="Arial"/>
          <w:i/>
        </w:rPr>
      </w:pPr>
      <w:r w:rsidRPr="000E6A1A">
        <w:rPr>
          <w:rFonts w:ascii="Arial" w:hAnsi="Arial" w:cs="Arial"/>
          <w:i/>
        </w:rPr>
        <w:t>** ”Rata medie de referință publicată de BNR” se va calcula ca medie aritmetică a valorilor randamentelor ”bid” și ”ask” pentru maturitatea de 10 ani din pagina specificată. Pentru evaluarea ofertelor se vor lua în calcul Ratele de referință publicate de BNR în ziua anterioară datei limită de depunere a ofertelor</w:t>
      </w:r>
    </w:p>
    <w:p w:rsidR="000E6A1A" w:rsidRDefault="000E6A1A" w:rsidP="000E6A1A">
      <w:pPr>
        <w:spacing w:after="0"/>
        <w:jc w:val="both"/>
        <w:rPr>
          <w:rFonts w:ascii="Arial" w:hAnsi="Arial" w:cs="Arial"/>
          <w:i/>
        </w:rPr>
      </w:pPr>
      <w:r w:rsidRPr="000E6A1A">
        <w:rPr>
          <w:rFonts w:ascii="Arial" w:hAnsi="Arial" w:cs="Arial"/>
          <w:i/>
        </w:rPr>
        <w:t>***</w:t>
      </w:r>
      <w:r w:rsidRPr="000E6A1A">
        <w:rPr>
          <w:rFonts w:ascii="Arial" w:hAnsi="Arial" w:cs="Arial"/>
        </w:rPr>
        <w:t xml:space="preserve"> </w:t>
      </w:r>
      <w:r w:rsidRPr="000E6A1A">
        <w:rPr>
          <w:rFonts w:ascii="Arial" w:hAnsi="Arial" w:cs="Arial"/>
          <w:i/>
        </w:rPr>
        <w:t xml:space="preserve">Se va completa suma minimă pe care ofertantul intenționează să o subscrie la nivelul de cupon maxim ca procent din valoarea totală a emisiunii </w:t>
      </w:r>
    </w:p>
    <w:p w:rsidR="000E6A1A" w:rsidRPr="000E6A1A" w:rsidRDefault="000E6A1A" w:rsidP="000E6A1A">
      <w:pPr>
        <w:jc w:val="both"/>
        <w:rPr>
          <w:rFonts w:ascii="Arial" w:hAnsi="Arial" w:cs="Arial"/>
          <w:i/>
        </w:rPr>
      </w:pPr>
      <w:r w:rsidRPr="000E6A1A">
        <w:rPr>
          <w:rFonts w:ascii="Arial" w:hAnsi="Arial" w:cs="Arial"/>
          <w:i/>
        </w:rPr>
        <w:t>****</w:t>
      </w:r>
      <w:r>
        <w:rPr>
          <w:rFonts w:ascii="Arial" w:hAnsi="Arial" w:cs="Arial"/>
          <w:i/>
        </w:rPr>
        <w:t xml:space="preserve"> În funcție de condițiile de piață, cu maximum 30</w:t>
      </w:r>
      <w:r w:rsidR="00090573">
        <w:rPr>
          <w:rFonts w:ascii="Arial" w:hAnsi="Arial" w:cs="Arial"/>
          <w:i/>
        </w:rPr>
        <w:t xml:space="preserve"> </w:t>
      </w:r>
      <w:r>
        <w:rPr>
          <w:rFonts w:ascii="Arial" w:hAnsi="Arial" w:cs="Arial"/>
          <w:i/>
        </w:rPr>
        <w:t>zile anterior datei emisiunii se va stabili cu ofertantul câștigător</w:t>
      </w:r>
      <w:r w:rsidR="00090573">
        <w:rPr>
          <w:rFonts w:ascii="Arial" w:hAnsi="Arial" w:cs="Arial"/>
          <w:i/>
        </w:rPr>
        <w:t>, pe baza formulei din prezenta ofertă,</w:t>
      </w:r>
      <w:r>
        <w:rPr>
          <w:rFonts w:ascii="Arial" w:hAnsi="Arial" w:cs="Arial"/>
          <w:i/>
        </w:rPr>
        <w:t xml:space="preserve"> valoarea cuponului</w:t>
      </w:r>
      <w:r w:rsidRPr="000E6A1A">
        <w:rPr>
          <w:rFonts w:ascii="Arial" w:hAnsi="Arial" w:cs="Arial"/>
          <w:i/>
        </w:rPr>
        <w:t xml:space="preserve"> </w:t>
      </w:r>
      <w:r w:rsidR="00090573">
        <w:rPr>
          <w:rFonts w:ascii="Arial" w:hAnsi="Arial" w:cs="Arial"/>
          <w:i/>
        </w:rPr>
        <w:t xml:space="preserve">anual </w:t>
      </w:r>
      <w:r>
        <w:rPr>
          <w:rFonts w:ascii="Arial" w:hAnsi="Arial" w:cs="Arial"/>
          <w:i/>
        </w:rPr>
        <w:t>ce va rămâne fixă pe întreaga maturitate a obligațiunilor.</w:t>
      </w:r>
    </w:p>
    <w:p w:rsidR="00EB13AB" w:rsidRPr="00AB0847" w:rsidRDefault="00EB13AB">
      <w:pPr>
        <w:rPr>
          <w:rFonts w:ascii="Arial" w:hAnsi="Arial" w:cs="Arial"/>
          <w:i/>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B13AB" w:rsidRPr="00604E7C" w:rsidTr="00EB13AB">
        <w:tc>
          <w:tcPr>
            <w:tcW w:w="4508" w:type="dxa"/>
          </w:tcPr>
          <w:p w:rsidR="00EB13AB" w:rsidRPr="00AB0847" w:rsidRDefault="00EB13AB" w:rsidP="00EB13AB">
            <w:pPr>
              <w:jc w:val="center"/>
              <w:rPr>
                <w:rFonts w:ascii="Arial" w:hAnsi="Arial" w:cs="Arial"/>
                <w:szCs w:val="24"/>
              </w:rPr>
            </w:pPr>
            <w:r w:rsidRPr="00AB0847">
              <w:rPr>
                <w:rFonts w:ascii="Arial" w:hAnsi="Arial" w:cs="Arial"/>
                <w:szCs w:val="24"/>
              </w:rPr>
              <w:t>Reprezentant legal</w:t>
            </w:r>
          </w:p>
          <w:p w:rsidR="00EB13AB" w:rsidRPr="00AB0847" w:rsidRDefault="00EB13AB" w:rsidP="00EB13AB">
            <w:pPr>
              <w:jc w:val="center"/>
              <w:rPr>
                <w:rFonts w:ascii="Arial" w:hAnsi="Arial" w:cs="Arial"/>
                <w:szCs w:val="24"/>
              </w:rPr>
            </w:pPr>
            <w:r w:rsidRPr="00AB0847">
              <w:rPr>
                <w:rFonts w:ascii="Arial" w:hAnsi="Arial" w:cs="Arial"/>
                <w:szCs w:val="24"/>
              </w:rPr>
              <w:t>Nume</w:t>
            </w:r>
          </w:p>
          <w:p w:rsidR="00EB13AB" w:rsidRPr="00AB0847" w:rsidRDefault="00EB13AB" w:rsidP="00EB13AB">
            <w:pPr>
              <w:jc w:val="center"/>
              <w:rPr>
                <w:rFonts w:ascii="Arial" w:hAnsi="Arial" w:cs="Arial"/>
                <w:szCs w:val="24"/>
              </w:rPr>
            </w:pPr>
            <w:r w:rsidRPr="00AB0847">
              <w:rPr>
                <w:rFonts w:ascii="Arial" w:hAnsi="Arial" w:cs="Arial"/>
                <w:szCs w:val="24"/>
              </w:rPr>
              <w:t>Funcție</w:t>
            </w:r>
          </w:p>
          <w:p w:rsidR="00EB13AB" w:rsidRPr="00604E7C" w:rsidRDefault="00EB13AB" w:rsidP="00EB13AB">
            <w:pPr>
              <w:jc w:val="center"/>
              <w:rPr>
                <w:rFonts w:ascii="Arial" w:hAnsi="Arial" w:cs="Arial"/>
                <w:sz w:val="24"/>
                <w:szCs w:val="24"/>
              </w:rPr>
            </w:pPr>
            <w:r w:rsidRPr="00AB0847">
              <w:rPr>
                <w:rFonts w:ascii="Arial" w:hAnsi="Arial" w:cs="Arial"/>
                <w:szCs w:val="24"/>
              </w:rPr>
              <w:t>Semnătura</w:t>
            </w:r>
          </w:p>
        </w:tc>
        <w:tc>
          <w:tcPr>
            <w:tcW w:w="4508" w:type="dxa"/>
          </w:tcPr>
          <w:p w:rsidR="00EB13AB" w:rsidRPr="00604E7C" w:rsidRDefault="00EB13AB">
            <w:pPr>
              <w:rPr>
                <w:rFonts w:ascii="Arial" w:hAnsi="Arial" w:cs="Arial"/>
                <w:i/>
                <w:sz w:val="24"/>
                <w:szCs w:val="24"/>
              </w:rPr>
            </w:pPr>
          </w:p>
        </w:tc>
      </w:tr>
    </w:tbl>
    <w:p w:rsidR="00EB13AB" w:rsidRPr="00604E7C" w:rsidRDefault="00EB13AB">
      <w:pPr>
        <w:rPr>
          <w:rFonts w:ascii="Arial" w:hAnsi="Arial" w:cs="Arial"/>
          <w:i/>
          <w:sz w:val="24"/>
          <w:szCs w:val="24"/>
        </w:rPr>
      </w:pPr>
    </w:p>
    <w:sectPr w:rsidR="00EB13AB" w:rsidRPr="00604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86"/>
    <w:rsid w:val="00032E22"/>
    <w:rsid w:val="00090573"/>
    <w:rsid w:val="000E6A1A"/>
    <w:rsid w:val="00410177"/>
    <w:rsid w:val="00604E7C"/>
    <w:rsid w:val="006847C6"/>
    <w:rsid w:val="008B6C56"/>
    <w:rsid w:val="009C466B"/>
    <w:rsid w:val="00A25997"/>
    <w:rsid w:val="00A674A1"/>
    <w:rsid w:val="00A86D8F"/>
    <w:rsid w:val="00A943EE"/>
    <w:rsid w:val="00AB0847"/>
    <w:rsid w:val="00AB484C"/>
    <w:rsid w:val="00AC73A6"/>
    <w:rsid w:val="00B57826"/>
    <w:rsid w:val="00C25F88"/>
    <w:rsid w:val="00C82E86"/>
    <w:rsid w:val="00C83D88"/>
    <w:rsid w:val="00E0000F"/>
    <w:rsid w:val="00E23441"/>
    <w:rsid w:val="00E60718"/>
    <w:rsid w:val="00EB13AB"/>
    <w:rsid w:val="00F20C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70A82-5157-4CC4-834C-7B8C3BF6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3AB"/>
    <w:rPr>
      <w:rFonts w:ascii="Segoe UI" w:hAnsi="Segoe UI" w:cs="Segoe UI"/>
      <w:sz w:val="18"/>
      <w:szCs w:val="18"/>
    </w:rPr>
  </w:style>
  <w:style w:type="character" w:styleId="Hyperlink">
    <w:name w:val="Hyperlink"/>
    <w:rsid w:val="000E6A1A"/>
    <w:rPr>
      <w:color w:val="0563C1"/>
      <w:u w:val="single"/>
    </w:rPr>
  </w:style>
  <w:style w:type="character" w:styleId="FollowedHyperlink">
    <w:name w:val="FollowedHyperlink"/>
    <w:basedOn w:val="DefaultParagraphFont"/>
    <w:uiPriority w:val="99"/>
    <w:semiHidden/>
    <w:unhideWhenUsed/>
    <w:rsid w:val="000E6A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nr.ro/Titluri-de-stat---rate-de-referinta-(fixing)-633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1479</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idru2</dc:creator>
  <cp:keywords/>
  <dc:description/>
  <cp:lastModifiedBy>Alexandru Drijman</cp:lastModifiedBy>
  <cp:revision>3</cp:revision>
  <cp:lastPrinted>2018-02-02T12:33:00Z</cp:lastPrinted>
  <dcterms:created xsi:type="dcterms:W3CDTF">2019-12-02T09:27:00Z</dcterms:created>
  <dcterms:modified xsi:type="dcterms:W3CDTF">2019-12-02T09:44:00Z</dcterms:modified>
</cp:coreProperties>
</file>