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7B" w:rsidRPr="009B756A" w:rsidRDefault="0099317B" w:rsidP="002104E9">
      <w:pPr>
        <w:spacing w:after="0" w:line="240" w:lineRule="auto"/>
        <w:jc w:val="both"/>
        <w:outlineLvl w:val="0"/>
        <w:rPr>
          <w:b/>
          <w:bCs/>
          <w:sz w:val="24"/>
          <w:szCs w:val="24"/>
          <w:u w:val="single"/>
          <w:lang w:val="it-IT"/>
        </w:rPr>
      </w:pPr>
      <w:bookmarkStart w:id="0" w:name="_GoBack"/>
      <w:bookmarkEnd w:id="0"/>
    </w:p>
    <w:p w:rsidR="00490C78" w:rsidRPr="002C5FE8" w:rsidRDefault="00490C78" w:rsidP="00F946AD">
      <w:pPr>
        <w:spacing w:after="0" w:line="240" w:lineRule="auto"/>
        <w:ind w:left="540"/>
        <w:jc w:val="center"/>
        <w:rPr>
          <w:b/>
          <w:sz w:val="24"/>
          <w:szCs w:val="24"/>
          <w:u w:val="single"/>
          <w:lang w:val="it-IT"/>
        </w:rPr>
      </w:pPr>
    </w:p>
    <w:p w:rsidR="00F946AD" w:rsidRPr="002C5FE8" w:rsidRDefault="00F946AD" w:rsidP="00F946AD">
      <w:pPr>
        <w:spacing w:after="0" w:line="240" w:lineRule="auto"/>
        <w:ind w:left="540"/>
        <w:jc w:val="center"/>
        <w:rPr>
          <w:b/>
          <w:sz w:val="24"/>
          <w:szCs w:val="24"/>
          <w:u w:val="single"/>
          <w:lang w:val="it-IT"/>
        </w:rPr>
      </w:pPr>
      <w:r w:rsidRPr="002C5FE8">
        <w:rPr>
          <w:b/>
          <w:sz w:val="24"/>
          <w:szCs w:val="24"/>
          <w:u w:val="single"/>
          <w:lang w:val="it-IT"/>
        </w:rPr>
        <w:t>LISTA PROGRAMELOR ŞI STRATEGIILOR PROPRII ALE DIRECŢIILOR DIN CADRUL APARATULUI DE SPECIALITATE AL PRIMARULUI GENERAL AL MUNICIPIULUI BUCUREŞTI</w:t>
      </w:r>
    </w:p>
    <w:p w:rsidR="00F946AD" w:rsidRPr="002C5FE8" w:rsidRDefault="00F946AD" w:rsidP="00F946AD">
      <w:pPr>
        <w:spacing w:after="0" w:line="240" w:lineRule="auto"/>
        <w:ind w:left="540"/>
        <w:jc w:val="both"/>
        <w:rPr>
          <w:b/>
          <w:sz w:val="24"/>
          <w:szCs w:val="24"/>
          <w:u w:val="single"/>
          <w:lang w:val="it-IT"/>
        </w:rPr>
      </w:pPr>
    </w:p>
    <w:tbl>
      <w:tblPr>
        <w:tblStyle w:val="Tabelgril"/>
        <w:tblW w:w="10440" w:type="dxa"/>
        <w:tblInd w:w="-252" w:type="dxa"/>
        <w:tblLayout w:type="fixed"/>
        <w:tblLook w:val="01E0" w:firstRow="1" w:lastRow="1" w:firstColumn="1" w:lastColumn="1" w:noHBand="0" w:noVBand="0"/>
      </w:tblPr>
      <w:tblGrid>
        <w:gridCol w:w="786"/>
        <w:gridCol w:w="3685"/>
        <w:gridCol w:w="5969"/>
      </w:tblGrid>
      <w:tr w:rsidR="002C5FE8" w:rsidRPr="002C5FE8" w:rsidTr="00C94782">
        <w:tc>
          <w:tcPr>
            <w:tcW w:w="786" w:type="dxa"/>
            <w:tcBorders>
              <w:top w:val="single" w:sz="4" w:space="0" w:color="auto"/>
              <w:left w:val="single" w:sz="4" w:space="0" w:color="auto"/>
              <w:bottom w:val="single" w:sz="4" w:space="0" w:color="auto"/>
              <w:right w:val="single" w:sz="4" w:space="0" w:color="auto"/>
            </w:tcBorders>
            <w:hideMark/>
          </w:tcPr>
          <w:p w:rsidR="00F946AD" w:rsidRPr="002C5FE8" w:rsidRDefault="00F946AD" w:rsidP="00C94782">
            <w:pPr>
              <w:jc w:val="both"/>
              <w:rPr>
                <w:b/>
                <w:sz w:val="24"/>
                <w:szCs w:val="24"/>
                <w:lang w:val="ro-RO"/>
              </w:rPr>
            </w:pPr>
            <w:r w:rsidRPr="002C5FE8">
              <w:rPr>
                <w:b/>
                <w:sz w:val="24"/>
                <w:szCs w:val="24"/>
                <w:lang w:val="ro-RO"/>
              </w:rPr>
              <w:t>NR.</w:t>
            </w:r>
          </w:p>
          <w:p w:rsidR="00F946AD" w:rsidRPr="002C5FE8" w:rsidRDefault="00F946AD" w:rsidP="00C94782">
            <w:pPr>
              <w:jc w:val="both"/>
              <w:rPr>
                <w:b/>
                <w:sz w:val="24"/>
                <w:szCs w:val="24"/>
                <w:lang w:val="ro-RO"/>
              </w:rPr>
            </w:pPr>
            <w:r w:rsidRPr="002C5FE8">
              <w:rPr>
                <w:b/>
                <w:sz w:val="24"/>
                <w:szCs w:val="24"/>
                <w:lang w:val="ro-RO"/>
              </w:rPr>
              <w:t>CRT.</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w:t>
            </w:r>
          </w:p>
        </w:tc>
        <w:tc>
          <w:tcPr>
            <w:tcW w:w="5969" w:type="dxa"/>
            <w:tcBorders>
              <w:top w:val="single" w:sz="4" w:space="0" w:color="auto"/>
              <w:left w:val="single" w:sz="4" w:space="0" w:color="auto"/>
              <w:bottom w:val="single" w:sz="4" w:space="0" w:color="auto"/>
              <w:right w:val="single" w:sz="4" w:space="0" w:color="auto"/>
            </w:tcBorders>
            <w:hideMark/>
          </w:tcPr>
          <w:p w:rsidR="00F946AD" w:rsidRPr="002C5FE8" w:rsidRDefault="00F946AD" w:rsidP="00C94782">
            <w:pPr>
              <w:jc w:val="both"/>
              <w:rPr>
                <w:b/>
                <w:sz w:val="24"/>
                <w:szCs w:val="24"/>
                <w:lang w:val="ro-RO"/>
              </w:rPr>
            </w:pPr>
            <w:r w:rsidRPr="002C5FE8">
              <w:rPr>
                <w:b/>
                <w:sz w:val="24"/>
                <w:szCs w:val="24"/>
                <w:lang w:val="ro-RO"/>
              </w:rPr>
              <w:t>PROGRAME ŞI STRATEGII PROPRII</w:t>
            </w:r>
          </w:p>
        </w:tc>
      </w:tr>
      <w:tr w:rsidR="002C5FE8" w:rsidRPr="002C5FE8" w:rsidTr="00C94782">
        <w:trPr>
          <w:trHeight w:val="603"/>
        </w:trPr>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RELAŢII CU PUBLICUL ȘI REGISTRATURĂ</w:t>
            </w:r>
          </w:p>
        </w:tc>
        <w:tc>
          <w:tcPr>
            <w:tcW w:w="5969" w:type="dxa"/>
            <w:tcBorders>
              <w:top w:val="single" w:sz="4" w:space="0" w:color="auto"/>
              <w:left w:val="single" w:sz="4" w:space="0" w:color="auto"/>
              <w:bottom w:val="single" w:sz="4" w:space="0" w:color="auto"/>
              <w:right w:val="single" w:sz="4" w:space="0" w:color="auto"/>
            </w:tcBorders>
            <w:hideMark/>
          </w:tcPr>
          <w:p w:rsidR="00F946AD" w:rsidRPr="00970A3C" w:rsidRDefault="00F946AD" w:rsidP="00970A3C">
            <w:pPr>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 xml:space="preserve">DIRECŢIA </w:t>
            </w:r>
          </w:p>
          <w:p w:rsidR="00F946AD" w:rsidRPr="002C5FE8" w:rsidRDefault="00F946AD" w:rsidP="00C94782">
            <w:pPr>
              <w:jc w:val="center"/>
              <w:rPr>
                <w:b/>
                <w:sz w:val="24"/>
                <w:szCs w:val="24"/>
                <w:lang w:val="ro-RO"/>
              </w:rPr>
            </w:pPr>
            <w:r w:rsidRPr="002C5FE8">
              <w:rPr>
                <w:b/>
                <w:sz w:val="24"/>
                <w:szCs w:val="24"/>
                <w:lang w:val="ro-RO"/>
              </w:rPr>
              <w:t>GENERALĂ LOGISTICĂ</w:t>
            </w:r>
          </w:p>
          <w:p w:rsidR="00F946AD" w:rsidRPr="002C5FE8" w:rsidRDefault="00F946AD" w:rsidP="00C94782">
            <w:pPr>
              <w:jc w:val="center"/>
              <w:rPr>
                <w:b/>
                <w:sz w:val="24"/>
                <w:szCs w:val="24"/>
                <w:lang w:val="ro-RO"/>
              </w:rPr>
            </w:pPr>
            <w:r w:rsidRPr="002C5FE8">
              <w:rPr>
                <w:b/>
                <w:sz w:val="24"/>
                <w:szCs w:val="24"/>
                <w:lang w:val="ro-RO"/>
              </w:rPr>
              <w:t>DIRECŢIA INFORMATICĂ</w:t>
            </w:r>
          </w:p>
        </w:tc>
        <w:tc>
          <w:tcPr>
            <w:tcW w:w="5969" w:type="dxa"/>
            <w:tcBorders>
              <w:top w:val="single" w:sz="4" w:space="0" w:color="auto"/>
              <w:left w:val="single" w:sz="4" w:space="0" w:color="auto"/>
              <w:bottom w:val="single" w:sz="4" w:space="0" w:color="auto"/>
              <w:right w:val="single" w:sz="4" w:space="0" w:color="auto"/>
            </w:tcBorders>
            <w:hideMark/>
          </w:tcPr>
          <w:p w:rsidR="00F946AD" w:rsidRPr="00970A3C" w:rsidRDefault="00F946AD" w:rsidP="00970A3C">
            <w:pPr>
              <w:ind w:left="35" w:right="-86"/>
              <w:jc w:val="both"/>
              <w:rPr>
                <w:sz w:val="24"/>
                <w:szCs w:val="24"/>
                <w:lang w:val="ro-RO"/>
              </w:rPr>
            </w:pPr>
            <w:r w:rsidRPr="00970A3C">
              <w:rPr>
                <w:sz w:val="24"/>
                <w:szCs w:val="24"/>
                <w:lang w:val="ro-RO"/>
              </w:rPr>
              <w:t>- Strategia de informatizare conform H.C.G.M.B. nr. 169/2005;</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AUDITUL ŞI MANAGEMENTUL CALITĂŢII</w:t>
            </w:r>
          </w:p>
        </w:tc>
        <w:tc>
          <w:tcPr>
            <w:tcW w:w="5969" w:type="dxa"/>
            <w:tcBorders>
              <w:top w:val="single" w:sz="4" w:space="0" w:color="auto"/>
              <w:left w:val="single" w:sz="4" w:space="0" w:color="auto"/>
              <w:bottom w:val="single" w:sz="4" w:space="0" w:color="auto"/>
              <w:right w:val="single" w:sz="4" w:space="0" w:color="auto"/>
            </w:tcBorders>
          </w:tcPr>
          <w:p w:rsidR="00340D30" w:rsidRPr="00970A3C" w:rsidRDefault="00014995" w:rsidP="00014995">
            <w:pPr>
              <w:pStyle w:val="Listparagraf"/>
              <w:ind w:left="35" w:right="-86"/>
              <w:jc w:val="both"/>
              <w:rPr>
                <w:sz w:val="24"/>
                <w:szCs w:val="24"/>
              </w:rPr>
            </w:pPr>
            <w:r>
              <w:rPr>
                <w:sz w:val="24"/>
                <w:szCs w:val="24"/>
              </w:rPr>
              <w:t xml:space="preserve">- </w:t>
            </w:r>
            <w:r w:rsidR="00340D30" w:rsidRPr="00970A3C">
              <w:rPr>
                <w:sz w:val="24"/>
                <w:szCs w:val="24"/>
              </w:rPr>
              <w:t xml:space="preserve">Certificarea Sistemului de Management Integrat (calitate-mediu) al Primăriei Municipiului Bucureşti; </w:t>
            </w:r>
          </w:p>
          <w:p w:rsidR="00340D30" w:rsidRPr="00970A3C" w:rsidRDefault="00014995" w:rsidP="00014995">
            <w:pPr>
              <w:pStyle w:val="Listparagraf"/>
              <w:ind w:left="35" w:right="-86"/>
              <w:jc w:val="both"/>
              <w:rPr>
                <w:sz w:val="24"/>
                <w:szCs w:val="24"/>
              </w:rPr>
            </w:pPr>
            <w:r>
              <w:rPr>
                <w:sz w:val="24"/>
                <w:szCs w:val="24"/>
              </w:rPr>
              <w:t xml:space="preserve">- </w:t>
            </w:r>
            <w:r w:rsidR="00340D30" w:rsidRPr="00970A3C">
              <w:rPr>
                <w:sz w:val="24"/>
                <w:szCs w:val="24"/>
              </w:rPr>
              <w:t xml:space="preserve">Menţinerea certificării şi îmbunătăţirea continuă a Sistemului de Management Integrat (calitate-mediu) în Primăria Municipiului Bucureşti; </w:t>
            </w:r>
          </w:p>
          <w:p w:rsidR="00F946AD" w:rsidRPr="00970A3C" w:rsidRDefault="00014995" w:rsidP="00970A3C">
            <w:pPr>
              <w:pStyle w:val="Listparagraf"/>
              <w:numPr>
                <w:ilvl w:val="0"/>
                <w:numId w:val="22"/>
              </w:numPr>
              <w:ind w:left="35" w:right="-86" w:firstLine="0"/>
              <w:jc w:val="both"/>
              <w:rPr>
                <w:sz w:val="24"/>
                <w:szCs w:val="24"/>
                <w:lang w:val="ro-RO"/>
              </w:rPr>
            </w:pPr>
            <w:r>
              <w:rPr>
                <w:sz w:val="24"/>
                <w:szCs w:val="24"/>
              </w:rPr>
              <w:t>I</w:t>
            </w:r>
            <w:r w:rsidR="00340D30" w:rsidRPr="00970A3C">
              <w:rPr>
                <w:sz w:val="24"/>
                <w:szCs w:val="24"/>
              </w:rPr>
              <w:t>mplementarea şi dezvoltarea Sistemului de Control Intern Managerial</w:t>
            </w:r>
          </w:p>
        </w:tc>
      </w:tr>
      <w:tr w:rsidR="002C5FE8" w:rsidRPr="002C5FE8" w:rsidTr="00C94782">
        <w:trPr>
          <w:trHeight w:val="710"/>
        </w:trPr>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TRANSPORTURI</w:t>
            </w:r>
          </w:p>
        </w:tc>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F946AD" w:rsidRPr="00970A3C" w:rsidRDefault="00F946AD" w:rsidP="00970A3C">
            <w:pPr>
              <w:pStyle w:val="Listparagraf"/>
              <w:numPr>
                <w:ilvl w:val="0"/>
                <w:numId w:val="13"/>
              </w:numPr>
              <w:ind w:left="35" w:right="-86" w:firstLine="0"/>
              <w:jc w:val="both"/>
              <w:rPr>
                <w:sz w:val="24"/>
                <w:szCs w:val="24"/>
                <w:lang w:val="ro-RO"/>
              </w:rPr>
            </w:pPr>
            <w:r w:rsidRPr="00970A3C">
              <w:rPr>
                <w:sz w:val="24"/>
                <w:szCs w:val="24"/>
                <w:lang w:val="ro-RO"/>
              </w:rPr>
              <w:t>Instituirea regimului parcărilor, respectiv introducerea regimului obligatoriu de plată a parcărilor de utilitate publică generală, coroborat cu aplicarea de sancțiuni pentru staționarea neregulamentară și stabilirea unui necesar optim de locuri de parcare permise într-un perimetru delimitat în interiorul zonei centrale (35.000 locuri de parcare) (H.C.G.M.B. nr. 322/2018);</w:t>
            </w:r>
          </w:p>
          <w:p w:rsidR="00F946AD" w:rsidRPr="00970A3C" w:rsidRDefault="00F946AD" w:rsidP="00970A3C">
            <w:pPr>
              <w:ind w:left="35" w:right="-86"/>
              <w:jc w:val="both"/>
              <w:rPr>
                <w:sz w:val="24"/>
                <w:szCs w:val="24"/>
                <w:lang w:val="ro-RO"/>
              </w:rPr>
            </w:pPr>
            <w:r w:rsidRPr="00970A3C">
              <w:rPr>
                <w:sz w:val="24"/>
                <w:szCs w:val="24"/>
                <w:lang w:val="ro-RO"/>
              </w:rPr>
              <w:t>- Planul de Mobilitate Urbană Durabilă 2016-2030 (H.C.G.M.B. nr. 90/2017).</w:t>
            </w:r>
          </w:p>
        </w:tc>
      </w:tr>
      <w:tr w:rsidR="00A834F4" w:rsidRPr="002C5FE8" w:rsidTr="002932D7">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DIRECȚIA SERVICII PUBLICE</w:t>
            </w:r>
          </w:p>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Serviciul Management Deşeuri, Salubritate</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contextualSpacing/>
              <w:jc w:val="both"/>
              <w:rPr>
                <w:sz w:val="24"/>
                <w:szCs w:val="24"/>
              </w:rPr>
            </w:pPr>
            <w:r w:rsidRPr="00101E9B">
              <w:rPr>
                <w:sz w:val="24"/>
                <w:szCs w:val="24"/>
              </w:rPr>
              <w:t xml:space="preserve">1. Strategia </w:t>
            </w:r>
            <w:r w:rsidRPr="00101E9B">
              <w:rPr>
                <w:sz w:val="24"/>
                <w:szCs w:val="24"/>
                <w:lang w:val="ro-RO"/>
              </w:rPr>
              <w:t>de dezvoltare şi funcţionare pe termen mediu şi lung a serviciului public de salubrizare în Municipiul Bucureşti</w:t>
            </w:r>
            <w:r w:rsidRPr="00101E9B">
              <w:rPr>
                <w:sz w:val="24"/>
                <w:szCs w:val="24"/>
              </w:rPr>
              <w:t>,</w:t>
            </w:r>
          </w:p>
          <w:p w:rsidR="00A834F4" w:rsidRPr="00101E9B" w:rsidRDefault="00A834F4" w:rsidP="00A834F4">
            <w:pPr>
              <w:contextualSpacing/>
              <w:jc w:val="both"/>
              <w:rPr>
                <w:sz w:val="24"/>
                <w:szCs w:val="24"/>
              </w:rPr>
            </w:pPr>
            <w:r w:rsidRPr="00101E9B">
              <w:rPr>
                <w:sz w:val="24"/>
                <w:szCs w:val="24"/>
              </w:rPr>
              <w:t>2.</w:t>
            </w:r>
            <w:r w:rsidRPr="00101E9B">
              <w:rPr>
                <w:sz w:val="24"/>
                <w:szCs w:val="24"/>
                <w:lang w:val="it-IT"/>
              </w:rPr>
              <w:t xml:space="preserve"> Programul de măsuri şi acţiuni pentru deszăpezirea şi combaterea poleiului </w:t>
            </w:r>
            <w:r w:rsidRPr="00101E9B">
              <w:rPr>
                <w:sz w:val="24"/>
                <w:szCs w:val="24"/>
                <w:lang w:val="ro-RO"/>
              </w:rPr>
              <w:t>în Municipiul Bucureşti</w:t>
            </w:r>
            <w:r w:rsidRPr="00101E9B">
              <w:rPr>
                <w:sz w:val="24"/>
                <w:szCs w:val="24"/>
              </w:rPr>
              <w:t>,</w:t>
            </w:r>
          </w:p>
          <w:p w:rsidR="00A834F4" w:rsidRPr="00101E9B" w:rsidRDefault="00A834F4" w:rsidP="00A834F4">
            <w:pPr>
              <w:contextualSpacing/>
              <w:jc w:val="both"/>
              <w:rPr>
                <w:sz w:val="24"/>
                <w:szCs w:val="24"/>
              </w:rPr>
            </w:pPr>
            <w:r w:rsidRPr="00101E9B">
              <w:rPr>
                <w:sz w:val="24"/>
                <w:szCs w:val="24"/>
              </w:rPr>
              <w:t xml:space="preserve">3. </w:t>
            </w:r>
            <w:r w:rsidRPr="00101E9B">
              <w:rPr>
                <w:sz w:val="24"/>
                <w:szCs w:val="24"/>
                <w:lang w:val="it-IT"/>
              </w:rPr>
              <w:t>Programul anual de măsuri şi acţiuni pentru gospodărirea</w:t>
            </w:r>
            <w:r w:rsidRPr="00101E9B">
              <w:rPr>
                <w:color w:val="000000"/>
                <w:sz w:val="24"/>
                <w:szCs w:val="24"/>
              </w:rPr>
              <w:t xml:space="preserve"> şi înfrumuseţarea </w:t>
            </w:r>
            <w:r w:rsidRPr="00101E9B">
              <w:rPr>
                <w:sz w:val="24"/>
                <w:szCs w:val="24"/>
                <w:lang w:val="it-IT"/>
              </w:rPr>
              <w:t>Municipiului Bucureşti .</w:t>
            </w:r>
          </w:p>
        </w:tc>
      </w:tr>
      <w:tr w:rsidR="00A834F4" w:rsidRPr="002C5FE8" w:rsidTr="002932D7">
        <w:trPr>
          <w:trHeight w:val="1149"/>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PUBLICE</w:t>
            </w:r>
          </w:p>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Serviciul Iluminat Public</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tabs>
                <w:tab w:val="left" w:pos="736"/>
              </w:tabs>
              <w:contextualSpacing/>
              <w:jc w:val="both"/>
              <w:rPr>
                <w:sz w:val="24"/>
                <w:szCs w:val="24"/>
              </w:rPr>
            </w:pPr>
            <w:r w:rsidRPr="00101E9B">
              <w:rPr>
                <w:sz w:val="24"/>
                <w:szCs w:val="24"/>
              </w:rPr>
              <w:t>1.Programe de îmbunătățire a iluminatului public acolo unde este deficitar,</w:t>
            </w:r>
          </w:p>
          <w:p w:rsidR="00A834F4" w:rsidRPr="00101E9B" w:rsidRDefault="00A834F4" w:rsidP="00A834F4">
            <w:pPr>
              <w:tabs>
                <w:tab w:val="left" w:pos="736"/>
              </w:tabs>
              <w:contextualSpacing/>
              <w:jc w:val="both"/>
              <w:rPr>
                <w:sz w:val="24"/>
                <w:szCs w:val="24"/>
              </w:rPr>
            </w:pPr>
            <w:r w:rsidRPr="00101E9B">
              <w:rPr>
                <w:sz w:val="24"/>
                <w:szCs w:val="24"/>
              </w:rPr>
              <w:t>2.Executare lucrări de iluminat public în zonele în care se modernizează rețeaua stradală,</w:t>
            </w:r>
          </w:p>
          <w:p w:rsidR="00A834F4" w:rsidRPr="00101E9B" w:rsidRDefault="00A834F4" w:rsidP="00A834F4">
            <w:pPr>
              <w:tabs>
                <w:tab w:val="left" w:pos="736"/>
              </w:tabs>
              <w:contextualSpacing/>
              <w:jc w:val="both"/>
              <w:rPr>
                <w:sz w:val="24"/>
                <w:szCs w:val="24"/>
              </w:rPr>
            </w:pPr>
            <w:r w:rsidRPr="00101E9B">
              <w:rPr>
                <w:sz w:val="24"/>
                <w:szCs w:val="24"/>
              </w:rPr>
              <w:t>3.Implementare sisteme și dispozitive pentru reducerea consumului de energie electrică aferentă iluminatului public cum ar fi:</w:t>
            </w:r>
          </w:p>
          <w:p w:rsidR="00A834F4" w:rsidRPr="00101E9B" w:rsidRDefault="00A834F4" w:rsidP="00D247FA">
            <w:pPr>
              <w:tabs>
                <w:tab w:val="left" w:pos="736"/>
              </w:tabs>
              <w:ind w:left="720" w:hanging="394"/>
              <w:contextualSpacing/>
              <w:jc w:val="both"/>
              <w:rPr>
                <w:sz w:val="24"/>
                <w:szCs w:val="24"/>
              </w:rPr>
            </w:pPr>
            <w:r w:rsidRPr="00101E9B">
              <w:rPr>
                <w:sz w:val="24"/>
                <w:szCs w:val="24"/>
              </w:rPr>
              <w:lastRenderedPageBreak/>
              <w:t>- Corpuri de iluminat realizate în tehnologie LED</w:t>
            </w:r>
          </w:p>
          <w:p w:rsidR="00A834F4" w:rsidRPr="00101E9B" w:rsidRDefault="00A834F4" w:rsidP="00D247FA">
            <w:pPr>
              <w:tabs>
                <w:tab w:val="left" w:pos="736"/>
              </w:tabs>
              <w:ind w:left="720" w:hanging="394"/>
              <w:contextualSpacing/>
              <w:jc w:val="both"/>
              <w:rPr>
                <w:sz w:val="24"/>
                <w:szCs w:val="24"/>
              </w:rPr>
            </w:pPr>
            <w:r w:rsidRPr="00101E9B">
              <w:rPr>
                <w:sz w:val="24"/>
                <w:szCs w:val="24"/>
              </w:rPr>
              <w:t>- Dispozitive economizoare de energie</w:t>
            </w:r>
          </w:p>
          <w:p w:rsidR="00A834F4" w:rsidRPr="00101E9B" w:rsidRDefault="00A834F4" w:rsidP="00D247FA">
            <w:pPr>
              <w:tabs>
                <w:tab w:val="left" w:pos="736"/>
              </w:tabs>
              <w:ind w:left="720" w:hanging="394"/>
              <w:contextualSpacing/>
              <w:jc w:val="both"/>
              <w:rPr>
                <w:sz w:val="24"/>
                <w:szCs w:val="24"/>
              </w:rPr>
            </w:pPr>
            <w:r w:rsidRPr="00101E9B">
              <w:rPr>
                <w:sz w:val="24"/>
                <w:szCs w:val="24"/>
              </w:rPr>
              <w:t>- Înlocuirea balasturilor clasice cu cele electronice</w:t>
            </w:r>
          </w:p>
          <w:p w:rsidR="00A834F4" w:rsidRPr="00101E9B" w:rsidRDefault="00A834F4" w:rsidP="00D247FA">
            <w:pPr>
              <w:tabs>
                <w:tab w:val="left" w:pos="736"/>
              </w:tabs>
              <w:ind w:left="720" w:hanging="394"/>
              <w:contextualSpacing/>
              <w:jc w:val="both"/>
              <w:rPr>
                <w:sz w:val="24"/>
                <w:szCs w:val="24"/>
              </w:rPr>
            </w:pPr>
            <w:r w:rsidRPr="00101E9B">
              <w:rPr>
                <w:sz w:val="24"/>
                <w:szCs w:val="24"/>
              </w:rPr>
              <w:t>- Implementarea sistemului de telegestiune,</w:t>
            </w:r>
          </w:p>
          <w:p w:rsidR="00A834F4" w:rsidRPr="00101E9B" w:rsidRDefault="00A834F4" w:rsidP="00A834F4">
            <w:pPr>
              <w:tabs>
                <w:tab w:val="left" w:pos="736"/>
              </w:tabs>
              <w:contextualSpacing/>
              <w:jc w:val="both"/>
              <w:rPr>
                <w:sz w:val="24"/>
                <w:szCs w:val="24"/>
              </w:rPr>
            </w:pPr>
            <w:r w:rsidRPr="00101E9B">
              <w:rPr>
                <w:sz w:val="24"/>
                <w:szCs w:val="24"/>
              </w:rPr>
              <w:t>4.Asigurarea unui echilibru între necesitatea unui iluminat care să favorizeze un trafic auto în siguranță, dar în același timp să fie economic, în vederea atingerii conceptului de “oraș verde”,</w:t>
            </w:r>
          </w:p>
          <w:p w:rsidR="00A834F4" w:rsidRPr="00101E9B" w:rsidRDefault="00A834F4" w:rsidP="00A834F4">
            <w:pPr>
              <w:tabs>
                <w:tab w:val="left" w:pos="736"/>
              </w:tabs>
              <w:contextualSpacing/>
              <w:jc w:val="both"/>
              <w:rPr>
                <w:sz w:val="24"/>
                <w:szCs w:val="24"/>
              </w:rPr>
            </w:pPr>
            <w:r w:rsidRPr="00101E9B">
              <w:rPr>
                <w:sz w:val="24"/>
                <w:szCs w:val="24"/>
              </w:rPr>
              <w:t>5.Folosirea de lămpi de iluminat bazate pe tehnologii care să asigure un consum mai mic de energie și o perioadă de viață extinsă (LED).</w:t>
            </w:r>
          </w:p>
        </w:tc>
      </w:tr>
      <w:tr w:rsidR="00A834F4" w:rsidRPr="002C5FE8" w:rsidTr="002932D7">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PUBLICE</w:t>
            </w:r>
          </w:p>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Serviciul Dezinsecţie, Deratizare, Dezinfecţie</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contextualSpacing/>
              <w:jc w:val="both"/>
              <w:rPr>
                <w:sz w:val="24"/>
                <w:szCs w:val="24"/>
                <w:lang w:val="ro-RO"/>
              </w:rPr>
            </w:pPr>
            <w:r w:rsidRPr="00101E9B">
              <w:rPr>
                <w:sz w:val="24"/>
                <w:szCs w:val="24"/>
              </w:rPr>
              <w:t>1.Strategia de dezvoltare și funcționare a serviciului public de salubrizare - activitățile de dezinsecție, dezinfecție și deratizare în municipiul București,</w:t>
            </w:r>
          </w:p>
          <w:p w:rsidR="00A834F4" w:rsidRPr="00101E9B" w:rsidRDefault="00A834F4" w:rsidP="00A834F4">
            <w:pPr>
              <w:contextualSpacing/>
              <w:jc w:val="both"/>
              <w:rPr>
                <w:sz w:val="24"/>
                <w:szCs w:val="24"/>
              </w:rPr>
            </w:pPr>
            <w:r w:rsidRPr="00101E9B">
              <w:rPr>
                <w:sz w:val="24"/>
                <w:szCs w:val="24"/>
                <w:lang w:val="it-IT"/>
              </w:rPr>
              <w:t>2.Programul unitar de Acțiune pentru deratizare și dezinsecție.</w:t>
            </w:r>
          </w:p>
        </w:tc>
      </w:tr>
      <w:tr w:rsidR="00A834F4" w:rsidRPr="002C5FE8" w:rsidTr="002932D7">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Serviciul Termoenergetic și Compartimentul Energetic</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tabs>
                <w:tab w:val="left" w:pos="660"/>
              </w:tabs>
              <w:contextualSpacing/>
              <w:jc w:val="both"/>
              <w:rPr>
                <w:sz w:val="24"/>
                <w:szCs w:val="24"/>
                <w:shd w:val="clear" w:color="auto" w:fill="FFFFFF"/>
                <w:lang w:val="ro-RO"/>
              </w:rPr>
            </w:pPr>
            <w:r w:rsidRPr="00101E9B">
              <w:rPr>
                <w:sz w:val="24"/>
                <w:szCs w:val="24"/>
                <w:shd w:val="clear" w:color="auto" w:fill="FFFFFF"/>
                <w:lang w:val="ro-RO"/>
              </w:rPr>
              <w:t>1.Strategia de alimentare cu energie termică în sistem centralizat a consumatorilor din municipiul Bucureşti, aprobata prin HCGMB nr. 260/2017,</w:t>
            </w:r>
          </w:p>
          <w:p w:rsidR="00A834F4" w:rsidRPr="00101E9B" w:rsidRDefault="00A834F4" w:rsidP="00A834F4">
            <w:pPr>
              <w:tabs>
                <w:tab w:val="left" w:pos="660"/>
              </w:tabs>
              <w:contextualSpacing/>
              <w:jc w:val="both"/>
              <w:rPr>
                <w:sz w:val="24"/>
                <w:szCs w:val="24"/>
                <w:shd w:val="clear" w:color="auto" w:fill="FFFFFF"/>
                <w:lang w:val="ro-RO"/>
              </w:rPr>
            </w:pPr>
            <w:r w:rsidRPr="00101E9B">
              <w:rPr>
                <w:sz w:val="24"/>
                <w:szCs w:val="24"/>
                <w:lang w:val="ro-RO"/>
              </w:rPr>
              <w:t>2.Investiții privind reabilitarea/modernizarea sistemului centralizat de alimentare cu energie termică, conform listelor de investiții aprobate prin bugetul PMB.</w:t>
            </w:r>
          </w:p>
        </w:tc>
      </w:tr>
      <w:tr w:rsidR="00A834F4" w:rsidRPr="002C5FE8" w:rsidTr="00C412B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A834F4" w:rsidRPr="00101E9B" w:rsidRDefault="00A834F4" w:rsidP="008874ED">
            <w:pPr>
              <w:spacing w:line="259" w:lineRule="auto"/>
              <w:jc w:val="center"/>
              <w:rPr>
                <w:rFonts w:eastAsia="Calibri"/>
                <w:b/>
                <w:sz w:val="24"/>
                <w:szCs w:val="24"/>
                <w:lang w:val="ro-RO"/>
              </w:rPr>
            </w:pPr>
            <w:r w:rsidRPr="00101E9B">
              <w:rPr>
                <w:rFonts w:eastAsia="Calibri"/>
                <w:b/>
                <w:sz w:val="24"/>
                <w:szCs w:val="24"/>
                <w:lang w:val="ro-RO"/>
              </w:rPr>
              <w:t>Serviciul Management Avarii Dispecerat</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contextualSpacing/>
              <w:jc w:val="both"/>
              <w:rPr>
                <w:rFonts w:eastAsia="Calibri"/>
                <w:sz w:val="24"/>
                <w:szCs w:val="24"/>
                <w:lang w:val="ro-RO"/>
              </w:rPr>
            </w:pPr>
            <w:r w:rsidRPr="00101E9B">
              <w:rPr>
                <w:rFonts w:eastAsia="Calibri"/>
                <w:sz w:val="24"/>
                <w:szCs w:val="24"/>
                <w:lang w:val="ro-RO"/>
              </w:rPr>
              <w:t>Programul electronic de monitorizare a avariilor – INGEA WORK</w:t>
            </w:r>
          </w:p>
        </w:tc>
      </w:tr>
      <w:tr w:rsidR="00A834F4" w:rsidRPr="002C5FE8" w:rsidTr="00C412B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A834F4" w:rsidRPr="00101E9B" w:rsidRDefault="00A834F4" w:rsidP="008874ED">
            <w:pPr>
              <w:contextualSpacing/>
              <w:jc w:val="center"/>
              <w:rPr>
                <w:b/>
                <w:sz w:val="24"/>
                <w:szCs w:val="24"/>
                <w:shd w:val="clear" w:color="auto" w:fill="FFFFFF"/>
                <w:lang w:val="ro-RO"/>
              </w:rPr>
            </w:pPr>
            <w:r w:rsidRPr="00101E9B">
              <w:rPr>
                <w:rFonts w:eastAsia="Calibri"/>
                <w:b/>
                <w:sz w:val="24"/>
                <w:szCs w:val="24"/>
                <w:lang w:val="ro-RO"/>
              </w:rPr>
              <w:t>Serviciul Autorizarea, Coordonare Lucrări Infrastructură</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ind w:left="714"/>
              <w:contextualSpacing/>
              <w:jc w:val="both"/>
              <w:rPr>
                <w:rFonts w:eastAsia="Calibri"/>
                <w:sz w:val="24"/>
                <w:szCs w:val="24"/>
                <w:lang w:val="ro-RO"/>
              </w:rPr>
            </w:pPr>
            <w:r w:rsidRPr="00101E9B">
              <w:rPr>
                <w:rFonts w:eastAsia="Calibri"/>
                <w:sz w:val="24"/>
                <w:szCs w:val="24"/>
                <w:lang w:val="ro-RO"/>
              </w:rPr>
              <w:t>-</w:t>
            </w:r>
          </w:p>
        </w:tc>
      </w:tr>
      <w:tr w:rsidR="00A834F4" w:rsidRPr="002C5FE8" w:rsidTr="00C412B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A834F4" w:rsidRPr="00101E9B" w:rsidRDefault="00A834F4" w:rsidP="008874ED">
            <w:pPr>
              <w:spacing w:line="259" w:lineRule="auto"/>
              <w:jc w:val="center"/>
              <w:rPr>
                <w:rFonts w:eastAsia="Calibri"/>
                <w:b/>
                <w:sz w:val="24"/>
                <w:szCs w:val="24"/>
                <w:lang w:val="ro-RO"/>
              </w:rPr>
            </w:pPr>
            <w:r w:rsidRPr="00101E9B">
              <w:rPr>
                <w:rFonts w:eastAsia="Calibri"/>
                <w:b/>
                <w:sz w:val="24"/>
                <w:szCs w:val="24"/>
                <w:lang w:val="ro-RO"/>
              </w:rPr>
              <w:t>Serviciul Monitorizare Servicii Integrate și Recepții Lucrări Infrastructură</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contextualSpacing/>
              <w:jc w:val="both"/>
              <w:rPr>
                <w:rFonts w:eastAsia="Calibri"/>
                <w:sz w:val="24"/>
                <w:szCs w:val="24"/>
                <w:lang w:val="ro-RO"/>
              </w:rPr>
            </w:pPr>
            <w:r w:rsidRPr="00101E9B">
              <w:rPr>
                <w:rFonts w:eastAsia="Calibri"/>
                <w:sz w:val="24"/>
                <w:szCs w:val="24"/>
                <w:lang w:val="ro-RO"/>
              </w:rPr>
              <w:t>Programul Coordonator Anual</w:t>
            </w:r>
          </w:p>
        </w:tc>
      </w:tr>
      <w:tr w:rsidR="00A834F4" w:rsidRPr="002C5FE8" w:rsidTr="00C412B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A834F4" w:rsidRPr="002C5FE8" w:rsidRDefault="00A834F4" w:rsidP="00A834F4">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A834F4" w:rsidRPr="00101E9B" w:rsidRDefault="00A834F4" w:rsidP="008874ED">
            <w:pPr>
              <w:contextualSpacing/>
              <w:jc w:val="center"/>
              <w:rPr>
                <w:b/>
                <w:sz w:val="24"/>
                <w:szCs w:val="24"/>
                <w:shd w:val="clear" w:color="auto" w:fill="FFFFFF"/>
                <w:lang w:val="ro-RO"/>
              </w:rPr>
            </w:pPr>
            <w:r w:rsidRPr="00101E9B">
              <w:rPr>
                <w:b/>
                <w:sz w:val="24"/>
                <w:szCs w:val="24"/>
                <w:shd w:val="clear" w:color="auto" w:fill="FFFFFF"/>
                <w:lang w:val="ro-RO"/>
              </w:rPr>
              <w:t>Serviciul Alimentare cu Apă și Canal</w:t>
            </w:r>
          </w:p>
        </w:tc>
        <w:tc>
          <w:tcPr>
            <w:tcW w:w="5969" w:type="dxa"/>
            <w:tcBorders>
              <w:top w:val="single" w:sz="4" w:space="0" w:color="auto"/>
              <w:left w:val="single" w:sz="4" w:space="0" w:color="auto"/>
              <w:bottom w:val="single" w:sz="4" w:space="0" w:color="auto"/>
              <w:right w:val="single" w:sz="4" w:space="0" w:color="auto"/>
            </w:tcBorders>
          </w:tcPr>
          <w:p w:rsidR="00A834F4" w:rsidRPr="00101E9B" w:rsidRDefault="00A834F4" w:rsidP="00A834F4">
            <w:pPr>
              <w:contextualSpacing/>
              <w:jc w:val="both"/>
              <w:rPr>
                <w:sz w:val="24"/>
                <w:szCs w:val="24"/>
                <w:shd w:val="clear" w:color="auto" w:fill="FFFFFF"/>
                <w:lang w:val="ro-RO"/>
              </w:rPr>
            </w:pPr>
            <w:r w:rsidRPr="00101E9B">
              <w:rPr>
                <w:sz w:val="24"/>
                <w:szCs w:val="24"/>
                <w:shd w:val="clear" w:color="auto" w:fill="FFFFFF"/>
                <w:lang w:val="ro-RO"/>
              </w:rPr>
              <w:t>1.Implementarea măsurilor prevăzute în Master Plan privind serviciul de alimentare cu apă și canal pe un orizont de 35 de ani – documentul este în analiză și aprobare,</w:t>
            </w:r>
          </w:p>
          <w:p w:rsidR="00A834F4" w:rsidRPr="00101E9B" w:rsidRDefault="00A834F4" w:rsidP="00A834F4">
            <w:pPr>
              <w:contextualSpacing/>
              <w:jc w:val="both"/>
              <w:rPr>
                <w:sz w:val="24"/>
                <w:szCs w:val="24"/>
                <w:shd w:val="clear" w:color="auto" w:fill="FFFFFF"/>
                <w:lang w:val="ro-RO"/>
              </w:rPr>
            </w:pPr>
            <w:r w:rsidRPr="00101E9B">
              <w:rPr>
                <w:sz w:val="24"/>
                <w:szCs w:val="24"/>
                <w:shd w:val="clear" w:color="auto" w:fill="FFFFFF"/>
                <w:lang w:val="ro-RO"/>
              </w:rPr>
              <w:t>2.Lucrări de reconfigurare a rețelei de canalizare în zona străzii Cheile Turzii, lucrări de reconfigurare a rețelei de canalizare în zona șos. Olteniței, lucrări care se propun în vederea evitării punerii sub presiune a unor colectoare precum A0, A1 și A3, necesitatea reducerii poluării stratului acvifer subteran precum și a poluării generale a mediului în zona de impact a canalizărilor șos. Olteniței, str. Cheile Turzii, șos. Metalurgiei, reducerea semnificativă riscului de inundare a zonei Tineretului – Șincai în special zona Parcului Tineretului între Șincai și Palatul Copiilor, zona Grigore Marin sector 4, cartierele Prelungirea Ferentari, Progresului, Metalurgiei constituie justificarea introducerii acestor proiecte în bugetul de lucrări noi al Primăriei Municipiului București,</w:t>
            </w:r>
          </w:p>
          <w:p w:rsidR="00A834F4" w:rsidRPr="00101E9B" w:rsidRDefault="00A834F4" w:rsidP="00A834F4">
            <w:pPr>
              <w:contextualSpacing/>
              <w:jc w:val="both"/>
              <w:rPr>
                <w:sz w:val="24"/>
                <w:szCs w:val="24"/>
                <w:shd w:val="clear" w:color="auto" w:fill="FFFFFF"/>
                <w:lang w:val="ro-RO"/>
              </w:rPr>
            </w:pPr>
            <w:r w:rsidRPr="00101E9B">
              <w:rPr>
                <w:sz w:val="24"/>
                <w:szCs w:val="24"/>
                <w:shd w:val="clear" w:color="auto" w:fill="FFFFFF"/>
                <w:lang w:val="ro-RO"/>
              </w:rPr>
              <w:t>3.Extinderea rețelelor de alimentare cu apă și canal inclusiv reabilitarea a trei apeducte existente pe strada Ghidigeni pentru realizarea unor condiții de trai și civilizație normale standardelor UE,</w:t>
            </w:r>
          </w:p>
          <w:p w:rsidR="00A834F4" w:rsidRPr="00101E9B" w:rsidRDefault="00A834F4" w:rsidP="00A834F4">
            <w:pPr>
              <w:contextualSpacing/>
              <w:jc w:val="both"/>
              <w:rPr>
                <w:sz w:val="24"/>
                <w:szCs w:val="24"/>
                <w:shd w:val="clear" w:color="auto" w:fill="FFFFFF"/>
                <w:lang w:val="ro-RO"/>
              </w:rPr>
            </w:pPr>
            <w:r w:rsidRPr="00101E9B">
              <w:rPr>
                <w:sz w:val="24"/>
                <w:szCs w:val="24"/>
                <w:shd w:val="clear" w:color="auto" w:fill="FFFFFF"/>
                <w:lang w:val="ro-RO"/>
              </w:rPr>
              <w:t>4.Realizarea Studiilor de Fezabilitate pentru identificarea modalităților de reabilitare a rețelelor de utilități publice, a sistemului rutier, a găsirii modalităților de preluare a apelor pluviale, de punere în valoare a vestigiilor arhitecturale, de dotare cu rețele de iluminat public, de amenajare a suprafețelor și dotare cu mobilier stradal a zonei din Centrul Istoric care nu a fost până în prezent reabilitată (zona B),</w:t>
            </w:r>
          </w:p>
          <w:p w:rsidR="00A834F4" w:rsidRPr="00101E9B" w:rsidRDefault="00A834F4" w:rsidP="00A834F4">
            <w:pPr>
              <w:contextualSpacing/>
              <w:jc w:val="both"/>
              <w:rPr>
                <w:sz w:val="24"/>
                <w:szCs w:val="24"/>
                <w:shd w:val="clear" w:color="auto" w:fill="FFFFFF"/>
                <w:lang w:val="ro-RO"/>
              </w:rPr>
            </w:pPr>
            <w:r w:rsidRPr="00101E9B">
              <w:rPr>
                <w:sz w:val="24"/>
                <w:szCs w:val="24"/>
                <w:shd w:val="clear" w:color="auto" w:fill="FFFFFF"/>
                <w:lang w:val="ro-RO"/>
              </w:rPr>
              <w:t xml:space="preserve">5.Implementarea programului ”Nicio stradă neasfaltată și fără utilități” prin care se dorește accesul tuturor cetățenilor la utilitățile publice (apă, canalizare, iluminat public) și asfaltarea tuturor străzilor din Municipiul București. </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01E9B" w:rsidRDefault="00F946AD" w:rsidP="00C94782">
            <w:pPr>
              <w:jc w:val="center"/>
              <w:rPr>
                <w:b/>
                <w:sz w:val="24"/>
                <w:szCs w:val="24"/>
                <w:lang w:val="ro-RO"/>
              </w:rPr>
            </w:pPr>
            <w:r w:rsidRPr="00101E9B">
              <w:rPr>
                <w:b/>
                <w:sz w:val="24"/>
                <w:szCs w:val="24"/>
                <w:lang w:val="ro-RO"/>
              </w:rPr>
              <w:t>DIRECŢIA</w:t>
            </w:r>
          </w:p>
          <w:p w:rsidR="00F946AD" w:rsidRPr="00101E9B" w:rsidRDefault="00F946AD" w:rsidP="00C94782">
            <w:pPr>
              <w:jc w:val="center"/>
              <w:rPr>
                <w:b/>
                <w:sz w:val="24"/>
                <w:szCs w:val="24"/>
                <w:lang w:val="ro-RO"/>
              </w:rPr>
            </w:pPr>
            <w:r w:rsidRPr="00101E9B">
              <w:rPr>
                <w:b/>
                <w:sz w:val="24"/>
                <w:szCs w:val="24"/>
                <w:lang w:val="ro-RO"/>
              </w:rPr>
              <w:t xml:space="preserve"> GENERALĂ INVESTIŢII</w:t>
            </w:r>
          </w:p>
        </w:tc>
        <w:tc>
          <w:tcPr>
            <w:tcW w:w="5969" w:type="dxa"/>
            <w:tcBorders>
              <w:top w:val="single" w:sz="4" w:space="0" w:color="auto"/>
              <w:left w:val="single" w:sz="4" w:space="0" w:color="auto"/>
              <w:bottom w:val="single" w:sz="4" w:space="0" w:color="auto"/>
              <w:right w:val="single" w:sz="4" w:space="0" w:color="auto"/>
            </w:tcBorders>
            <w:hideMark/>
          </w:tcPr>
          <w:p w:rsidR="00E67663" w:rsidRPr="00E67663" w:rsidRDefault="00E67663" w:rsidP="00E67663">
            <w:pPr>
              <w:ind w:left="35" w:right="-86"/>
              <w:jc w:val="both"/>
              <w:rPr>
                <w:sz w:val="24"/>
                <w:szCs w:val="24"/>
                <w:lang w:val="ro-RO"/>
              </w:rPr>
            </w:pPr>
            <w:r w:rsidRPr="00E67663">
              <w:rPr>
                <w:sz w:val="24"/>
                <w:szCs w:val="24"/>
                <w:lang w:val="ro-RO"/>
              </w:rPr>
              <w:t>- Program anual de investiţii - conform listei obiectivelor de investiţii aprobată prin Hotărâre a Consiliului General al Municipiului Bucureşti;</w:t>
            </w:r>
          </w:p>
          <w:p w:rsidR="00F946AD" w:rsidRPr="00101E9B" w:rsidRDefault="00E67663" w:rsidP="00E67663">
            <w:pPr>
              <w:ind w:left="35" w:right="-86"/>
              <w:jc w:val="both"/>
              <w:rPr>
                <w:sz w:val="24"/>
                <w:szCs w:val="24"/>
                <w:lang w:val="ro-RO"/>
              </w:rPr>
            </w:pPr>
            <w:r w:rsidRPr="00E67663">
              <w:rPr>
                <w:sz w:val="24"/>
                <w:szCs w:val="24"/>
                <w:lang w:val="ro-RO"/>
              </w:rPr>
              <w:t>- Programe, strategii și proiecte cuprinse în Planul de Mobilitate Urbană Durabilă (PMUD) 2016-2030 Regiunea București-Ilfov, aprobat prin Hotărârea Consiliului General al Municipiului Bucureşti nr.90/29.03.2017.</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CULTURĂ, ÎNVĂŢĂMÂNT, TURISM</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ind w:left="35" w:right="-86"/>
              <w:jc w:val="both"/>
              <w:rPr>
                <w:b/>
                <w:sz w:val="24"/>
                <w:szCs w:val="24"/>
                <w:u w:val="single"/>
                <w:lang w:val="ro-RO"/>
              </w:rPr>
            </w:pPr>
            <w:r w:rsidRPr="00970A3C">
              <w:rPr>
                <w:b/>
                <w:sz w:val="24"/>
                <w:szCs w:val="24"/>
                <w:u w:val="single"/>
                <w:lang w:val="ro-RO"/>
              </w:rPr>
              <w:t>Serviciul Cultură</w:t>
            </w:r>
          </w:p>
          <w:p w:rsidR="003E62C9" w:rsidRPr="00970A3C" w:rsidRDefault="003E62C9" w:rsidP="00970A3C">
            <w:pPr>
              <w:pStyle w:val="Listparagraf"/>
              <w:numPr>
                <w:ilvl w:val="0"/>
                <w:numId w:val="6"/>
              </w:numPr>
              <w:tabs>
                <w:tab w:val="clear" w:pos="720"/>
              </w:tabs>
              <w:ind w:left="35" w:right="-86" w:firstLine="0"/>
              <w:jc w:val="both"/>
              <w:rPr>
                <w:b/>
                <w:sz w:val="24"/>
                <w:szCs w:val="24"/>
                <w:u w:val="single"/>
                <w:lang w:val="ro-RO"/>
              </w:rPr>
            </w:pPr>
            <w:r w:rsidRPr="00970A3C">
              <w:rPr>
                <w:sz w:val="24"/>
                <w:szCs w:val="24"/>
                <w:lang w:val="ro-RO"/>
              </w:rPr>
              <w:t xml:space="preserve">Strategia Culturală a Municipiului Bucureşti </w:t>
            </w:r>
            <w:r w:rsidRPr="00970A3C">
              <w:rPr>
                <w:sz w:val="24"/>
                <w:szCs w:val="24"/>
                <w:lang w:val="ro-RO"/>
              </w:rPr>
              <w:lastRenderedPageBreak/>
              <w:t>2016-2026 (aprobată prin HCGMB nr. 152/2016)</w:t>
            </w:r>
          </w:p>
          <w:p w:rsidR="00F946AD" w:rsidRPr="00970A3C" w:rsidRDefault="00F946AD" w:rsidP="00970A3C">
            <w:pPr>
              <w:ind w:left="35" w:right="-86"/>
              <w:jc w:val="both"/>
              <w:rPr>
                <w:b/>
                <w:sz w:val="24"/>
                <w:szCs w:val="24"/>
                <w:u w:val="single"/>
                <w:lang w:val="ro-RO"/>
              </w:rPr>
            </w:pPr>
            <w:r w:rsidRPr="00970A3C">
              <w:rPr>
                <w:b/>
                <w:sz w:val="24"/>
                <w:szCs w:val="24"/>
                <w:u w:val="single"/>
                <w:lang w:val="ro-RO"/>
              </w:rPr>
              <w:t>Serviciul Învăţământ, Turism</w:t>
            </w:r>
          </w:p>
          <w:p w:rsidR="008C3D1E" w:rsidRPr="00970A3C" w:rsidRDefault="008C3D1E" w:rsidP="00970A3C">
            <w:pPr>
              <w:numPr>
                <w:ilvl w:val="0"/>
                <w:numId w:val="6"/>
              </w:numPr>
              <w:tabs>
                <w:tab w:val="clear" w:pos="720"/>
              </w:tabs>
              <w:ind w:left="35" w:right="-86" w:firstLine="0"/>
              <w:jc w:val="both"/>
              <w:rPr>
                <w:sz w:val="24"/>
                <w:szCs w:val="24"/>
                <w:lang w:val="ro-RO"/>
              </w:rPr>
            </w:pPr>
            <w:r w:rsidRPr="00970A3C">
              <w:rPr>
                <w:sz w:val="24"/>
                <w:szCs w:val="24"/>
                <w:lang w:val="ro-RO"/>
              </w:rPr>
              <w:t>Strategia Municipală Antidrog a Municipiului București pentru perioada 2014-2020 aprobată prin HCGMB nr. 227/04.09.2019;</w:t>
            </w:r>
          </w:p>
          <w:p w:rsidR="008C3D1E" w:rsidRPr="00970A3C" w:rsidRDefault="008C3D1E" w:rsidP="00970A3C">
            <w:pPr>
              <w:numPr>
                <w:ilvl w:val="0"/>
                <w:numId w:val="6"/>
              </w:numPr>
              <w:tabs>
                <w:tab w:val="clear" w:pos="720"/>
              </w:tabs>
              <w:ind w:left="35" w:right="-86" w:firstLine="0"/>
              <w:jc w:val="both"/>
              <w:rPr>
                <w:sz w:val="24"/>
                <w:szCs w:val="24"/>
                <w:lang w:val="ro-RO"/>
              </w:rPr>
            </w:pPr>
            <w:r w:rsidRPr="00970A3C">
              <w:rPr>
                <w:sz w:val="24"/>
                <w:szCs w:val="24"/>
                <w:lang w:val="ro-RO"/>
              </w:rPr>
              <w:t>Programul „BUCUREȘTIUL DESTINAȚIE TURISTICĂ – PROMOVAREA MUNICIPIULUI BUCUREȘTI CA DESTINAȚIE TURISTICĂ ȘI DEZVOLTAREA ACTIVITĂȚII DE TURISM ȘI SERVICII”, aprobat prin HCGMB nr. 539/23.08.2018</w:t>
            </w:r>
          </w:p>
          <w:p w:rsidR="00F946AD" w:rsidRPr="00970A3C" w:rsidRDefault="008C3D1E" w:rsidP="00970A3C">
            <w:pPr>
              <w:pStyle w:val="Listparagraf"/>
              <w:numPr>
                <w:ilvl w:val="0"/>
                <w:numId w:val="6"/>
              </w:numPr>
              <w:tabs>
                <w:tab w:val="clear" w:pos="720"/>
              </w:tabs>
              <w:ind w:left="35" w:right="-86" w:firstLine="0"/>
              <w:rPr>
                <w:sz w:val="24"/>
                <w:szCs w:val="24"/>
                <w:lang w:val="ro-RO"/>
              </w:rPr>
            </w:pPr>
            <w:r w:rsidRPr="00970A3C">
              <w:rPr>
                <w:sz w:val="24"/>
                <w:szCs w:val="24"/>
                <w:lang w:val="ro-RO"/>
              </w:rPr>
              <w:t>Programul DEZVOLTARE ȘI SĂNĂTATE PRIN SPORT în vederea creșterii gradului de participare și implicare în activități fizice și sportive în rândul copiilor și tinerilor la nivelul Municipiului București, aprobat prin HCGMB nr. 350/14.06.2018</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GENERALĂ MANAGEMENT PROIECTE CU FINANŢARE EXTERNĂ</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DIRECŢIA FINANCIAR CONTABILITATE,BUGET</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VENITURI</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 xml:space="preserve">DIRECŢIA </w:t>
            </w:r>
          </w:p>
          <w:p w:rsidR="00F946AD" w:rsidRPr="00133842" w:rsidRDefault="00F946AD" w:rsidP="00C94782">
            <w:pPr>
              <w:jc w:val="center"/>
              <w:rPr>
                <w:b/>
                <w:sz w:val="24"/>
                <w:szCs w:val="24"/>
                <w:lang w:val="ro-RO"/>
              </w:rPr>
            </w:pPr>
            <w:r w:rsidRPr="00133842">
              <w:rPr>
                <w:b/>
                <w:sz w:val="24"/>
                <w:szCs w:val="24"/>
                <w:lang w:val="ro-RO"/>
              </w:rPr>
              <w:t>GENERALĂ LOGISTICĂ</w:t>
            </w:r>
          </w:p>
          <w:p w:rsidR="00F946AD" w:rsidRPr="002C5FE8" w:rsidRDefault="00F946AD" w:rsidP="00C94782">
            <w:pPr>
              <w:jc w:val="center"/>
              <w:rPr>
                <w:b/>
                <w:sz w:val="24"/>
                <w:szCs w:val="24"/>
                <w:lang w:val="ro-RO"/>
              </w:rPr>
            </w:pPr>
            <w:r w:rsidRPr="00133842">
              <w:rPr>
                <w:b/>
                <w:sz w:val="24"/>
                <w:szCs w:val="24"/>
                <w:lang w:val="ro-RO"/>
              </w:rPr>
              <w:t>DIRECŢIA ADMINISTRATIVĂ</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ind w:left="35" w:right="-86"/>
              <w:jc w:val="both"/>
              <w:rPr>
                <w:sz w:val="24"/>
                <w:szCs w:val="24"/>
                <w:lang w:val="ro-RO"/>
              </w:rPr>
            </w:pPr>
            <w:r w:rsidRPr="00970A3C">
              <w:rPr>
                <w:sz w:val="24"/>
                <w:szCs w:val="24"/>
                <w:lang w:val="ro-RO"/>
              </w:rPr>
              <w:t>Program de administrare si întreținere a locațiilor unde iși desfășoară activitatea aparatul de lucru al Primarului General.</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DIRECȚIA GENERALĂ ACHIZIȚII PUBLICE</w:t>
            </w:r>
          </w:p>
        </w:tc>
        <w:tc>
          <w:tcPr>
            <w:tcW w:w="5969" w:type="dxa"/>
            <w:tcBorders>
              <w:top w:val="single" w:sz="4" w:space="0" w:color="auto"/>
              <w:left w:val="single" w:sz="4" w:space="0" w:color="auto"/>
              <w:bottom w:val="single" w:sz="4" w:space="0" w:color="auto"/>
              <w:right w:val="single" w:sz="4" w:space="0" w:color="auto"/>
            </w:tcBorders>
            <w:vAlign w:val="center"/>
          </w:tcPr>
          <w:p w:rsidR="00F946AD" w:rsidRPr="00970A3C" w:rsidRDefault="00F946AD" w:rsidP="00970A3C">
            <w:pPr>
              <w:ind w:left="35" w:right="-86"/>
              <w:rPr>
                <w:sz w:val="24"/>
                <w:szCs w:val="24"/>
                <w:lang w:val="ro-RO"/>
              </w:rPr>
            </w:pPr>
            <w:r w:rsidRPr="00970A3C">
              <w:rPr>
                <w:sz w:val="24"/>
                <w:szCs w:val="24"/>
                <w:lang w:val="ro-RO"/>
              </w:rPr>
              <w:t>Strategia anuală de achiziții publice</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 xml:space="preserve">DIRECŢIA </w:t>
            </w:r>
          </w:p>
          <w:p w:rsidR="00F946AD" w:rsidRPr="002C5FE8" w:rsidRDefault="00F946AD" w:rsidP="00C94782">
            <w:pPr>
              <w:jc w:val="center"/>
              <w:rPr>
                <w:b/>
                <w:sz w:val="24"/>
                <w:szCs w:val="24"/>
                <w:lang w:val="ro-RO"/>
              </w:rPr>
            </w:pPr>
            <w:r w:rsidRPr="002C5FE8">
              <w:rPr>
                <w:b/>
                <w:sz w:val="24"/>
                <w:szCs w:val="24"/>
                <w:lang w:val="ro-RO"/>
              </w:rPr>
              <w:t>GENERALĂ URBANISM ȘI AMENAJAREA TERITORIULUI</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pStyle w:val="yiv1021435952msonormal"/>
              <w:spacing w:after="0"/>
              <w:ind w:left="35" w:right="-86"/>
              <w:jc w:val="both"/>
              <w:rPr>
                <w:rFonts w:ascii="Arial" w:hAnsi="Arial" w:cs="Arial"/>
                <w:bCs/>
                <w:u w:val="single"/>
                <w:lang w:val="ro-RO"/>
              </w:rPr>
            </w:pPr>
            <w:r w:rsidRPr="00970A3C">
              <w:rPr>
                <w:rFonts w:ascii="Arial" w:hAnsi="Arial" w:cs="Arial"/>
                <w:bCs/>
                <w:u w:val="single"/>
                <w:lang w:val="ro-RO"/>
              </w:rPr>
              <w:t>PALIER STRATEGIC</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t>Planul Urbanistic General al Municipiului București, aprobat prin HCGMB nr. 269/2000, prelungit prin HCGMB nr. 877/2018.</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t>Strategia de dezvoltare urbana integrata a municipiului București 2035 – viziunea de dezvoltare, programe, proiecte.</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t>Revitalizarea spațiului public in zona centrala (exemple: piețe publice centrale).</w:t>
            </w:r>
          </w:p>
          <w:p w:rsidR="00C3392C" w:rsidRPr="00970A3C" w:rsidRDefault="00C3392C" w:rsidP="00970A3C">
            <w:pPr>
              <w:pStyle w:val="yiv1021435952msonormal"/>
              <w:spacing w:after="0"/>
              <w:ind w:left="35" w:right="-86"/>
              <w:jc w:val="both"/>
              <w:rPr>
                <w:rFonts w:ascii="Arial" w:hAnsi="Arial" w:cs="Arial"/>
                <w:bCs/>
                <w:u w:val="single"/>
                <w:lang w:val="ro-RO"/>
              </w:rPr>
            </w:pPr>
          </w:p>
          <w:p w:rsidR="00F946AD" w:rsidRPr="00970A3C" w:rsidRDefault="00F946AD" w:rsidP="00970A3C">
            <w:pPr>
              <w:pStyle w:val="yiv1021435952msonormal"/>
              <w:spacing w:after="0"/>
              <w:ind w:left="35" w:right="-86"/>
              <w:jc w:val="both"/>
              <w:rPr>
                <w:rFonts w:ascii="Arial" w:hAnsi="Arial" w:cs="Arial"/>
                <w:bCs/>
                <w:u w:val="single"/>
                <w:lang w:val="ro-RO"/>
              </w:rPr>
            </w:pPr>
            <w:r w:rsidRPr="00970A3C">
              <w:rPr>
                <w:rFonts w:ascii="Arial" w:hAnsi="Arial" w:cs="Arial"/>
                <w:bCs/>
                <w:u w:val="single"/>
                <w:lang w:val="ro-RO"/>
              </w:rPr>
              <w:t>PALIER OPERATIONAL</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t>Administrarea Planului Urbanistic General al Municipiului București in vigoare.</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lastRenderedPageBreak/>
              <w:t>Administrarea Planului Urbanistic General al Municipiului București revizuit, după aprobarea sa prin Hotărâre a CGMB.</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t>Planuri de urbanism zonal (PUZ) pentru zone centrale si de interes, inclusiv activitatea de consultare a populaţiei.</w:t>
            </w:r>
          </w:p>
          <w:p w:rsidR="00F946AD" w:rsidRPr="00970A3C" w:rsidRDefault="00F946AD" w:rsidP="00970A3C">
            <w:pPr>
              <w:pStyle w:val="yiv1021435952msonormal"/>
              <w:spacing w:after="0"/>
              <w:ind w:left="35" w:right="-86"/>
              <w:jc w:val="both"/>
              <w:rPr>
                <w:rFonts w:ascii="Arial" w:hAnsi="Arial" w:cs="Arial"/>
                <w:bCs/>
                <w:lang w:val="ro-RO"/>
              </w:rPr>
            </w:pPr>
            <w:r w:rsidRPr="00970A3C">
              <w:rPr>
                <w:rFonts w:ascii="Arial" w:hAnsi="Arial" w:cs="Arial"/>
                <w:bCs/>
                <w:lang w:val="ro-RO"/>
              </w:rPr>
              <w:t>Elaborarea de regulamente pentru diverse aspecte ale dezvoltării orașului/tipuri de activități, cu aplicabilitate in teritoriul administrativ al municipiului București (regulamente de amplasare – stații distribuție carburanți etc., zonarea fiscala, regulament de intervenție pentru aplicarea prevederilor legii 153/2011, cu modificările si completările ulterioare).</w:t>
            </w:r>
          </w:p>
          <w:p w:rsidR="00F946AD" w:rsidRPr="00970A3C" w:rsidRDefault="00F946AD" w:rsidP="00970A3C">
            <w:pPr>
              <w:tabs>
                <w:tab w:val="left" w:pos="0"/>
              </w:tabs>
              <w:ind w:left="35" w:right="-86"/>
              <w:jc w:val="both"/>
              <w:rPr>
                <w:sz w:val="24"/>
                <w:szCs w:val="24"/>
                <w:lang w:val="ro-RO"/>
              </w:rPr>
            </w:pPr>
            <w:r w:rsidRPr="00970A3C">
              <w:rPr>
                <w:bCs/>
                <w:sz w:val="24"/>
                <w:szCs w:val="24"/>
                <w:u w:val="single"/>
                <w:lang w:val="ro-RO"/>
              </w:rPr>
              <w:t>Baza de date urbane – AC/AD - CU</w:t>
            </w:r>
          </w:p>
        </w:tc>
      </w:tr>
      <w:tr w:rsidR="002C5FE8" w:rsidRPr="002C5FE8" w:rsidTr="00C94782">
        <w:trPr>
          <w:trHeight w:val="780"/>
        </w:trPr>
        <w:tc>
          <w:tcPr>
            <w:tcW w:w="786" w:type="dxa"/>
            <w:vMerge w:val="restart"/>
            <w:tcBorders>
              <w:top w:val="single" w:sz="4" w:space="0" w:color="auto"/>
              <w:left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DIRECȚIA  SPAŢIU LOCATIV ŞI CU ALTĂ DESTINAŢIE</w:t>
            </w:r>
          </w:p>
        </w:tc>
        <w:tc>
          <w:tcPr>
            <w:tcW w:w="5969" w:type="dxa"/>
            <w:vMerge w:val="restart"/>
            <w:tcBorders>
              <w:top w:val="single" w:sz="4" w:space="0" w:color="auto"/>
              <w:left w:val="single" w:sz="4" w:space="0" w:color="auto"/>
              <w:right w:val="single" w:sz="4" w:space="0" w:color="auto"/>
            </w:tcBorders>
          </w:tcPr>
          <w:p w:rsidR="00DA63F1" w:rsidRPr="00970A3C" w:rsidRDefault="00DA63F1" w:rsidP="004D4110">
            <w:pPr>
              <w:pStyle w:val="Antet"/>
              <w:numPr>
                <w:ilvl w:val="0"/>
                <w:numId w:val="21"/>
              </w:numPr>
              <w:tabs>
                <w:tab w:val="clear" w:pos="4680"/>
              </w:tabs>
              <w:ind w:left="177" w:right="-86" w:hanging="142"/>
              <w:jc w:val="both"/>
              <w:rPr>
                <w:sz w:val="24"/>
                <w:szCs w:val="24"/>
                <w:lang w:val="ro-RO"/>
              </w:rPr>
            </w:pPr>
            <w:r w:rsidRPr="00970A3C">
              <w:rPr>
                <w:sz w:val="24"/>
                <w:szCs w:val="24"/>
                <w:lang w:val="ro-RO"/>
              </w:rPr>
              <w:t>Programe de pregătire profesională</w:t>
            </w:r>
          </w:p>
          <w:p w:rsidR="00DA63F1" w:rsidRPr="00970A3C" w:rsidRDefault="00DA63F1" w:rsidP="004D4110">
            <w:pPr>
              <w:pStyle w:val="Antet"/>
              <w:numPr>
                <w:ilvl w:val="0"/>
                <w:numId w:val="21"/>
              </w:numPr>
              <w:ind w:left="177" w:right="-86" w:hanging="142"/>
              <w:jc w:val="both"/>
              <w:rPr>
                <w:sz w:val="24"/>
                <w:szCs w:val="24"/>
                <w:lang w:val="ro-RO"/>
              </w:rPr>
            </w:pPr>
            <w:r w:rsidRPr="00970A3C">
              <w:rPr>
                <w:sz w:val="24"/>
                <w:szCs w:val="24"/>
                <w:lang w:val="ro-RO"/>
              </w:rPr>
              <w:t>Creşterea eficienţei rezolvării petiţiilor înaintea termenului stabilit prin lege</w:t>
            </w:r>
          </w:p>
          <w:p w:rsidR="00DA63F1" w:rsidRPr="00970A3C" w:rsidRDefault="00DA63F1" w:rsidP="004D4110">
            <w:pPr>
              <w:pStyle w:val="Antet"/>
              <w:numPr>
                <w:ilvl w:val="0"/>
                <w:numId w:val="21"/>
              </w:numPr>
              <w:ind w:left="177" w:right="-86" w:hanging="142"/>
              <w:jc w:val="both"/>
              <w:rPr>
                <w:sz w:val="24"/>
                <w:szCs w:val="24"/>
                <w:lang w:val="ro-RO"/>
              </w:rPr>
            </w:pPr>
            <w:r w:rsidRPr="00970A3C">
              <w:rPr>
                <w:sz w:val="24"/>
                <w:szCs w:val="24"/>
                <w:lang w:val="ro-RO"/>
              </w:rPr>
              <w:t>Creşterea eficienţei şi transparenţei în comunicarea cu petentul</w:t>
            </w:r>
          </w:p>
          <w:p w:rsidR="00DA63F1" w:rsidRPr="00970A3C" w:rsidRDefault="00DA63F1" w:rsidP="004D4110">
            <w:pPr>
              <w:pStyle w:val="Antet"/>
              <w:numPr>
                <w:ilvl w:val="0"/>
                <w:numId w:val="21"/>
              </w:numPr>
              <w:ind w:left="177" w:right="-86" w:hanging="142"/>
              <w:jc w:val="both"/>
              <w:rPr>
                <w:sz w:val="24"/>
                <w:szCs w:val="24"/>
                <w:lang w:val="ro-RO"/>
              </w:rPr>
            </w:pPr>
            <w:r w:rsidRPr="00970A3C">
              <w:rPr>
                <w:sz w:val="24"/>
                <w:szCs w:val="24"/>
                <w:lang w:val="ro-RO"/>
              </w:rPr>
              <w:t>Instruirea angajaţilor în vederea creşterii operativităţii pentru lucrările pe care le avem spre rezolvare, cât şi creşterea competenţei lor prin programe de pregătire specifice</w:t>
            </w:r>
          </w:p>
          <w:p w:rsidR="00DA63F1" w:rsidRPr="00970A3C" w:rsidRDefault="00DA63F1" w:rsidP="004D4110">
            <w:pPr>
              <w:pStyle w:val="Antet"/>
              <w:numPr>
                <w:ilvl w:val="0"/>
                <w:numId w:val="21"/>
              </w:numPr>
              <w:ind w:left="177" w:right="-86" w:hanging="142"/>
              <w:jc w:val="both"/>
              <w:rPr>
                <w:sz w:val="24"/>
                <w:szCs w:val="24"/>
                <w:lang w:val="ro-RO"/>
              </w:rPr>
            </w:pPr>
            <w:r w:rsidRPr="00970A3C">
              <w:rPr>
                <w:sz w:val="24"/>
                <w:szCs w:val="24"/>
                <w:lang w:val="ro-RO"/>
              </w:rPr>
              <w:t>Asigurarea accesului facil al petenţilor la informaţiile de interes public</w:t>
            </w:r>
          </w:p>
          <w:p w:rsidR="00F946AD" w:rsidRPr="00970A3C" w:rsidRDefault="00DA63F1" w:rsidP="004D4110">
            <w:pPr>
              <w:pStyle w:val="Antet"/>
              <w:numPr>
                <w:ilvl w:val="0"/>
                <w:numId w:val="21"/>
              </w:numPr>
              <w:ind w:left="177" w:right="-86" w:hanging="142"/>
              <w:jc w:val="both"/>
              <w:rPr>
                <w:sz w:val="24"/>
                <w:szCs w:val="24"/>
                <w:lang w:val="ro-RO"/>
              </w:rPr>
            </w:pPr>
            <w:r w:rsidRPr="00970A3C">
              <w:rPr>
                <w:sz w:val="24"/>
                <w:szCs w:val="24"/>
                <w:lang w:val="ro-RO"/>
              </w:rPr>
              <w:t>Identificarea instituţiilor statului care au în gestionare acelaşi tip de probleme în vederea asigurării unui schimb de experienţă  pentru o permanentă îmbunătăţire a activităţii</w:t>
            </w:r>
          </w:p>
        </w:tc>
      </w:tr>
      <w:tr w:rsidR="002C5FE8" w:rsidRPr="002C5FE8" w:rsidTr="00C94782">
        <w:trPr>
          <w:trHeight w:val="3968"/>
        </w:trPr>
        <w:tc>
          <w:tcPr>
            <w:tcW w:w="786" w:type="dxa"/>
            <w:vMerge/>
            <w:tcBorders>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p>
        </w:tc>
        <w:tc>
          <w:tcPr>
            <w:tcW w:w="5969" w:type="dxa"/>
            <w:vMerge/>
            <w:tcBorders>
              <w:left w:val="single" w:sz="4" w:space="0" w:color="auto"/>
              <w:bottom w:val="single" w:sz="4" w:space="0" w:color="auto"/>
              <w:right w:val="single" w:sz="4" w:space="0" w:color="auto"/>
            </w:tcBorders>
          </w:tcPr>
          <w:p w:rsidR="00F946AD" w:rsidRPr="00970A3C" w:rsidRDefault="00F946AD" w:rsidP="00970A3C">
            <w:pPr>
              <w:pStyle w:val="Antet"/>
              <w:ind w:left="35" w:right="-86"/>
              <w:jc w:val="both"/>
              <w:rPr>
                <w:b/>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DE MEDIU</w:t>
            </w:r>
          </w:p>
        </w:tc>
        <w:tc>
          <w:tcPr>
            <w:tcW w:w="5969" w:type="dxa"/>
            <w:tcBorders>
              <w:top w:val="single" w:sz="4" w:space="0" w:color="auto"/>
              <w:left w:val="single" w:sz="4" w:space="0" w:color="auto"/>
              <w:bottom w:val="single" w:sz="4" w:space="0" w:color="auto"/>
              <w:right w:val="single" w:sz="4" w:space="0" w:color="auto"/>
            </w:tcBorders>
          </w:tcPr>
          <w:p w:rsidR="007B1231" w:rsidRPr="00970A3C" w:rsidRDefault="007B1231" w:rsidP="00970A3C">
            <w:pPr>
              <w:ind w:left="35" w:right="-86"/>
              <w:jc w:val="both"/>
              <w:rPr>
                <w:sz w:val="24"/>
                <w:szCs w:val="24"/>
                <w:lang w:val="ro-RO"/>
              </w:rPr>
            </w:pPr>
            <w:r w:rsidRPr="00970A3C">
              <w:rPr>
                <w:sz w:val="24"/>
                <w:szCs w:val="24"/>
                <w:lang w:val="ro-RO"/>
              </w:rPr>
              <w:t>- Refacerea/ Revizuirea Hărților Strategice de Zgomot pentru municipiul București conform prevederilor din Legea nr.121/2019 privind evaluarea și gestionarea zgomotului ambiant</w:t>
            </w:r>
          </w:p>
          <w:p w:rsidR="007B1231" w:rsidRPr="00970A3C" w:rsidRDefault="007B1231" w:rsidP="00970A3C">
            <w:pPr>
              <w:ind w:left="35" w:right="-86"/>
              <w:jc w:val="both"/>
              <w:rPr>
                <w:sz w:val="24"/>
                <w:szCs w:val="24"/>
                <w:lang w:val="ro-RO"/>
              </w:rPr>
            </w:pPr>
            <w:r w:rsidRPr="00970A3C">
              <w:rPr>
                <w:sz w:val="24"/>
                <w:szCs w:val="24"/>
                <w:lang w:val="ro-RO"/>
              </w:rPr>
              <w:t>- Reevaluarea/Revizuirea Planurilor de acțiune pentru gestionarea și /sau reducerea nivelului de zgomot în municipiul Bucureşti, conform prevederilor Legii nr.121/2019</w:t>
            </w:r>
          </w:p>
          <w:p w:rsidR="007B1231" w:rsidRPr="00970A3C" w:rsidRDefault="007B1231" w:rsidP="00970A3C">
            <w:pPr>
              <w:ind w:left="35" w:right="-86"/>
              <w:jc w:val="both"/>
              <w:rPr>
                <w:sz w:val="24"/>
                <w:szCs w:val="24"/>
                <w:lang w:val="ro-RO"/>
              </w:rPr>
            </w:pPr>
            <w:r w:rsidRPr="00970A3C">
              <w:rPr>
                <w:sz w:val="24"/>
                <w:szCs w:val="24"/>
                <w:lang w:val="ro-RO"/>
              </w:rPr>
              <w:t xml:space="preserve">- Dezvoltarea Sistemului de monitorizare a zgomotului urban aflat în dotarea Primăriei Municipiului Bucureşti </w:t>
            </w:r>
          </w:p>
          <w:p w:rsidR="007B1231" w:rsidRPr="00970A3C" w:rsidRDefault="007B1231" w:rsidP="00970A3C">
            <w:pPr>
              <w:ind w:left="35" w:right="-86"/>
              <w:jc w:val="both"/>
              <w:rPr>
                <w:sz w:val="24"/>
                <w:szCs w:val="24"/>
                <w:lang w:val="ro-RO"/>
              </w:rPr>
            </w:pPr>
            <w:r w:rsidRPr="00970A3C">
              <w:rPr>
                <w:sz w:val="24"/>
                <w:szCs w:val="24"/>
                <w:lang w:val="ro-RO"/>
              </w:rPr>
              <w:t xml:space="preserve">- Monitorizarea activităţii surselor de poluare fonică ( trafic rutier, trafic feroviar- tip tramvai) cu ajutorul </w:t>
            </w:r>
            <w:r w:rsidRPr="00970A3C">
              <w:rPr>
                <w:sz w:val="24"/>
                <w:szCs w:val="24"/>
                <w:lang w:val="ro-RO"/>
              </w:rPr>
              <w:lastRenderedPageBreak/>
              <w:t xml:space="preserve">staţiilor de zgomot mobile (sonometre) </w:t>
            </w:r>
          </w:p>
          <w:p w:rsidR="007B1231" w:rsidRPr="00970A3C" w:rsidRDefault="007B1231" w:rsidP="00970A3C">
            <w:pPr>
              <w:ind w:left="35" w:right="-86"/>
              <w:jc w:val="both"/>
              <w:rPr>
                <w:sz w:val="24"/>
                <w:szCs w:val="24"/>
                <w:lang w:val="ro-RO"/>
              </w:rPr>
            </w:pPr>
            <w:r w:rsidRPr="00970A3C">
              <w:rPr>
                <w:sz w:val="24"/>
                <w:szCs w:val="24"/>
                <w:lang w:val="ro-RO"/>
              </w:rPr>
              <w:t>- Planul Integrat de Calitate a Aerului în Municipiul București 2018-2022</w:t>
            </w:r>
          </w:p>
          <w:p w:rsidR="007B1231" w:rsidRPr="00970A3C" w:rsidRDefault="007B1231" w:rsidP="00970A3C">
            <w:pPr>
              <w:ind w:left="35" w:right="-86"/>
              <w:jc w:val="both"/>
              <w:rPr>
                <w:sz w:val="24"/>
                <w:szCs w:val="24"/>
                <w:lang w:val="ro-RO"/>
              </w:rPr>
            </w:pPr>
            <w:r w:rsidRPr="00970A3C">
              <w:rPr>
                <w:sz w:val="24"/>
                <w:szCs w:val="24"/>
                <w:lang w:val="ro-RO"/>
              </w:rPr>
              <w:t xml:space="preserve">- Planul de Menținere a Calității Aerului în Municipiul București 2018-2022 </w:t>
            </w:r>
          </w:p>
          <w:p w:rsidR="007B1231" w:rsidRPr="00970A3C" w:rsidRDefault="007B1231" w:rsidP="00970A3C">
            <w:pPr>
              <w:ind w:left="35" w:right="-86"/>
              <w:jc w:val="both"/>
              <w:rPr>
                <w:sz w:val="24"/>
                <w:szCs w:val="24"/>
                <w:lang w:val="ro-RO"/>
              </w:rPr>
            </w:pPr>
            <w:r w:rsidRPr="00970A3C">
              <w:rPr>
                <w:sz w:val="24"/>
                <w:szCs w:val="24"/>
                <w:lang w:val="ro-RO"/>
              </w:rPr>
              <w:t>- Monitorizarea calităţii aerului în municipiul Bucuresti pe arterele cu trafic intens, pe şantierele de construcţii şi în zonele de expunere a populatiei sensibile cu Autolaboratorul mobil</w:t>
            </w:r>
          </w:p>
          <w:p w:rsidR="007B1231" w:rsidRPr="00970A3C" w:rsidRDefault="007B1231" w:rsidP="00970A3C">
            <w:pPr>
              <w:ind w:left="35" w:right="-86"/>
              <w:jc w:val="both"/>
              <w:rPr>
                <w:sz w:val="24"/>
                <w:szCs w:val="24"/>
                <w:lang w:val="ro-RO"/>
              </w:rPr>
            </w:pPr>
            <w:r w:rsidRPr="00970A3C">
              <w:rPr>
                <w:sz w:val="24"/>
                <w:szCs w:val="24"/>
                <w:lang w:val="ro-RO"/>
              </w:rPr>
              <w:t>- Actualizarea Registrului spaţiilor verzi al Municipiului Bucureşti conform Ordinului MDRT nr.1466/2010</w:t>
            </w:r>
          </w:p>
          <w:p w:rsidR="007B1231" w:rsidRPr="00970A3C" w:rsidRDefault="007B1231" w:rsidP="00970A3C">
            <w:pPr>
              <w:ind w:left="35" w:right="-86"/>
              <w:jc w:val="both"/>
              <w:rPr>
                <w:sz w:val="24"/>
                <w:szCs w:val="24"/>
                <w:lang w:val="ro-RO"/>
              </w:rPr>
            </w:pPr>
            <w:r w:rsidRPr="00970A3C">
              <w:rPr>
                <w:sz w:val="24"/>
                <w:szCs w:val="24"/>
                <w:lang w:val="ro-RO"/>
              </w:rPr>
              <w:t>- Îmbunătăţirea cadrului de reglementare la nivel local prin revizuirea şi/sau emiterea de noi acte administrative privind normele de întreţinere a materialului dendrologic şi de protecţie a spaţiilor verzi pe teritoriul municipiului Bucureşti în vederea asigurării condiţiilor pentru creşterea cantitativă şi calitativă a spaţiilor verzi din Bucureşti şi implicit la îmbunătăţirea calităţii vieţii cetăţenilor</w:t>
            </w:r>
          </w:p>
          <w:p w:rsidR="00F946AD" w:rsidRPr="00970A3C" w:rsidRDefault="007B1231" w:rsidP="00970A3C">
            <w:pPr>
              <w:ind w:left="35" w:right="-86"/>
              <w:jc w:val="both"/>
              <w:rPr>
                <w:sz w:val="24"/>
                <w:szCs w:val="24"/>
                <w:lang w:val="ro-RO"/>
              </w:rPr>
            </w:pPr>
            <w:r w:rsidRPr="00970A3C">
              <w:rPr>
                <w:sz w:val="24"/>
                <w:szCs w:val="24"/>
                <w:lang w:val="ro-RO"/>
              </w:rPr>
              <w:t>- Proiectul „Eco-voucher în schimbul unui autovehicul uzat”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DIRECŢIA ADMINISTRAŢIE PUBLICĂ</w:t>
            </w:r>
          </w:p>
        </w:tc>
        <w:tc>
          <w:tcPr>
            <w:tcW w:w="5969" w:type="dxa"/>
            <w:tcBorders>
              <w:top w:val="single" w:sz="4" w:space="0" w:color="auto"/>
              <w:left w:val="single" w:sz="4" w:space="0" w:color="auto"/>
              <w:bottom w:val="single" w:sz="4" w:space="0" w:color="auto"/>
              <w:right w:val="single" w:sz="4" w:space="0" w:color="auto"/>
            </w:tcBorders>
          </w:tcPr>
          <w:p w:rsidR="00F946AD" w:rsidRPr="00CD5B83" w:rsidRDefault="00F946AD" w:rsidP="00CD5B83">
            <w:pPr>
              <w:ind w:left="35" w:right="-86"/>
              <w:jc w:val="both"/>
              <w:rPr>
                <w:color w:val="FF0000"/>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DIRECŢIA ASISTENŢĂ TEHNICĂ ŞI JURIDICĂ</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numPr>
                <w:ilvl w:val="0"/>
                <w:numId w:val="1"/>
              </w:numPr>
              <w:ind w:left="35" w:right="-86" w:firstLine="0"/>
              <w:jc w:val="both"/>
              <w:rPr>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DIRECŢIA DE PRESĂ</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numPr>
                <w:ilvl w:val="0"/>
                <w:numId w:val="1"/>
              </w:numPr>
              <w:ind w:left="35" w:right="-86" w:firstLine="0"/>
              <w:jc w:val="both"/>
              <w:rPr>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DIRECŢIA AUDIT PUBLIC INTERN</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numPr>
                <w:ilvl w:val="0"/>
                <w:numId w:val="1"/>
              </w:numPr>
              <w:ind w:left="35" w:right="-86" w:firstLine="0"/>
              <w:jc w:val="both"/>
              <w:rPr>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DIRECŢIA RELAŢII EXTERNE ŞI PROTOCOL</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numPr>
                <w:ilvl w:val="0"/>
                <w:numId w:val="1"/>
              </w:numPr>
              <w:ind w:left="35" w:right="-86" w:firstLine="0"/>
              <w:jc w:val="both"/>
              <w:rPr>
                <w:sz w:val="24"/>
                <w:szCs w:val="24"/>
                <w:lang w:val="ro-RO"/>
              </w:rPr>
            </w:pPr>
          </w:p>
        </w:tc>
      </w:tr>
      <w:tr w:rsidR="002C5FE8" w:rsidRPr="002C5FE8" w:rsidTr="00C94782">
        <w:trPr>
          <w:trHeight w:val="1259"/>
        </w:trPr>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CA3D4F" w:rsidP="00C94782">
            <w:pPr>
              <w:jc w:val="center"/>
              <w:rPr>
                <w:b/>
                <w:sz w:val="24"/>
                <w:szCs w:val="24"/>
                <w:lang w:val="ro-RO"/>
              </w:rPr>
            </w:pPr>
            <w:r w:rsidRPr="00133842">
              <w:rPr>
                <w:b/>
                <w:sz w:val="24"/>
                <w:szCs w:val="24"/>
                <w:lang w:val="ro-RO"/>
              </w:rPr>
              <w:t>DIRECŢIA MAN</w:t>
            </w:r>
            <w:r w:rsidR="00F946AD" w:rsidRPr="00133842">
              <w:rPr>
                <w:b/>
                <w:sz w:val="24"/>
                <w:szCs w:val="24"/>
                <w:lang w:val="ro-RO"/>
              </w:rPr>
              <w:t>AGEMENTUL RESURSELOR UMANE</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numPr>
                <w:ilvl w:val="0"/>
                <w:numId w:val="1"/>
              </w:numPr>
              <w:ind w:left="35" w:right="-86" w:firstLine="0"/>
              <w:jc w:val="both"/>
              <w:rPr>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ind w:right="-106"/>
              <w:jc w:val="center"/>
              <w:rPr>
                <w:b/>
                <w:sz w:val="24"/>
                <w:szCs w:val="24"/>
                <w:lang w:val="ro-RO"/>
              </w:rPr>
            </w:pPr>
            <w:r w:rsidRPr="00133842">
              <w:rPr>
                <w:b/>
                <w:sz w:val="24"/>
                <w:szCs w:val="24"/>
                <w:lang w:val="ro-RO"/>
              </w:rPr>
              <w:t>DIRECŢIA PATRIMONIU</w:t>
            </w:r>
          </w:p>
        </w:tc>
        <w:tc>
          <w:tcPr>
            <w:tcW w:w="5969" w:type="dxa"/>
            <w:tcBorders>
              <w:top w:val="single" w:sz="4" w:space="0" w:color="auto"/>
              <w:left w:val="single" w:sz="4" w:space="0" w:color="auto"/>
              <w:bottom w:val="single" w:sz="4" w:space="0" w:color="auto"/>
              <w:right w:val="single" w:sz="4" w:space="0" w:color="auto"/>
            </w:tcBorders>
            <w:hideMark/>
          </w:tcPr>
          <w:p w:rsidR="00F946AD" w:rsidRPr="00970A3C" w:rsidRDefault="00F946AD" w:rsidP="00970A3C">
            <w:pPr>
              <w:ind w:left="35" w:right="-86"/>
              <w:jc w:val="both"/>
              <w:rPr>
                <w:sz w:val="24"/>
                <w:szCs w:val="24"/>
                <w:lang w:val="ro-RO"/>
              </w:rPr>
            </w:pPr>
            <w:r w:rsidRPr="00970A3C">
              <w:rPr>
                <w:sz w:val="24"/>
                <w:szCs w:val="24"/>
                <w:lang w:val="ro-RO"/>
              </w:rPr>
              <w:t>-promovarea si realizarea cadastrului strazilor pentru artere de circulatie, proprietatea Municipiului Bucuresti;</w:t>
            </w:r>
          </w:p>
          <w:p w:rsidR="00F946AD" w:rsidRPr="00970A3C" w:rsidRDefault="00F946AD" w:rsidP="00970A3C">
            <w:pPr>
              <w:ind w:left="35" w:right="-86"/>
              <w:jc w:val="both"/>
              <w:rPr>
                <w:sz w:val="24"/>
                <w:szCs w:val="24"/>
                <w:lang w:val="ro-RO"/>
              </w:rPr>
            </w:pPr>
            <w:r w:rsidRPr="00970A3C">
              <w:rPr>
                <w:sz w:val="24"/>
                <w:szCs w:val="24"/>
                <w:lang w:val="ro-RO"/>
              </w:rPr>
              <w:t>-promovarea si aprobarea unui nou regulament privind atribuirea sau schimbarea de denumiri si atribuirea de numere administrative;</w:t>
            </w:r>
          </w:p>
          <w:p w:rsidR="00F946AD" w:rsidRPr="00970A3C" w:rsidRDefault="00F946AD" w:rsidP="00970A3C">
            <w:pPr>
              <w:ind w:left="35" w:right="-86"/>
              <w:jc w:val="both"/>
              <w:rPr>
                <w:sz w:val="24"/>
                <w:szCs w:val="24"/>
                <w:lang w:val="ro-RO"/>
              </w:rPr>
            </w:pPr>
            <w:r w:rsidRPr="00970A3C">
              <w:rPr>
                <w:sz w:val="24"/>
                <w:szCs w:val="24"/>
                <w:lang w:val="ro-RO"/>
              </w:rPr>
              <w:t>-promovarea si aprobarea unui nou nomenclator stradal</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133842" w:rsidRDefault="00F946AD" w:rsidP="00C94782">
            <w:pPr>
              <w:jc w:val="center"/>
              <w:rPr>
                <w:b/>
                <w:sz w:val="24"/>
                <w:szCs w:val="24"/>
                <w:lang w:val="ro-RO"/>
              </w:rPr>
            </w:pPr>
            <w:r w:rsidRPr="00133842">
              <w:rPr>
                <w:b/>
                <w:sz w:val="24"/>
                <w:szCs w:val="24"/>
                <w:lang w:val="ro-RO"/>
              </w:rPr>
              <w:t>DIRECŢIA JURIDIC</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ind w:left="35" w:right="-86"/>
              <w:jc w:val="center"/>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r w:rsidRPr="002C5FE8">
              <w:rPr>
                <w:b/>
                <w:sz w:val="24"/>
                <w:szCs w:val="24"/>
                <w:lang w:val="ro-RO"/>
              </w:rPr>
              <w:t xml:space="preserve">DIRECŢIA </w:t>
            </w:r>
          </w:p>
          <w:p w:rsidR="00F946AD" w:rsidRPr="002C5FE8" w:rsidRDefault="00F946AD" w:rsidP="00C94782">
            <w:pPr>
              <w:jc w:val="center"/>
              <w:rPr>
                <w:b/>
                <w:sz w:val="24"/>
                <w:szCs w:val="24"/>
                <w:lang w:val="ro-RO"/>
              </w:rPr>
            </w:pPr>
            <w:r w:rsidRPr="002C5FE8">
              <w:rPr>
                <w:b/>
                <w:sz w:val="24"/>
                <w:szCs w:val="24"/>
                <w:lang w:val="ro-RO"/>
              </w:rPr>
              <w:t xml:space="preserve">RELAŢIA CU ONG, </w:t>
            </w:r>
            <w:r w:rsidRPr="002C5FE8">
              <w:rPr>
                <w:b/>
                <w:sz w:val="24"/>
                <w:szCs w:val="24"/>
                <w:lang w:val="ro-RO"/>
              </w:rPr>
              <w:lastRenderedPageBreak/>
              <w:t>SINDICATE ŞI PATRONATE</w:t>
            </w:r>
          </w:p>
        </w:tc>
        <w:tc>
          <w:tcPr>
            <w:tcW w:w="5969" w:type="dxa"/>
            <w:tcBorders>
              <w:top w:val="single" w:sz="4" w:space="0" w:color="auto"/>
              <w:left w:val="single" w:sz="4" w:space="0" w:color="auto"/>
              <w:bottom w:val="single" w:sz="4" w:space="0" w:color="auto"/>
              <w:right w:val="single" w:sz="4" w:space="0" w:color="auto"/>
            </w:tcBorders>
            <w:hideMark/>
          </w:tcPr>
          <w:p w:rsidR="00D81712" w:rsidRPr="00970A3C" w:rsidRDefault="00D81712" w:rsidP="00970A3C">
            <w:pPr>
              <w:pStyle w:val="Listparagraf"/>
              <w:numPr>
                <w:ilvl w:val="0"/>
                <w:numId w:val="26"/>
              </w:numPr>
              <w:ind w:left="35" w:right="-86" w:firstLine="0"/>
              <w:jc w:val="both"/>
              <w:rPr>
                <w:sz w:val="24"/>
                <w:szCs w:val="24"/>
              </w:rPr>
            </w:pPr>
            <w:r w:rsidRPr="00970A3C">
              <w:rPr>
                <w:sz w:val="24"/>
                <w:szCs w:val="24"/>
                <w:lang w:val="ro-RO"/>
              </w:rPr>
              <w:lastRenderedPageBreak/>
              <w:t>Regulamente de finanțar</w:t>
            </w:r>
            <w:r w:rsidR="008A37BD" w:rsidRPr="00970A3C">
              <w:rPr>
                <w:sz w:val="24"/>
                <w:szCs w:val="24"/>
                <w:lang w:val="ro-RO"/>
              </w:rPr>
              <w:t xml:space="preserve">e nerambursabile, conform Legii </w:t>
            </w:r>
            <w:r w:rsidRPr="00970A3C">
              <w:rPr>
                <w:sz w:val="24"/>
                <w:szCs w:val="24"/>
                <w:lang w:val="ro-RO"/>
              </w:rPr>
              <w:t>nr. 350/2005</w:t>
            </w:r>
            <w:r w:rsidRPr="00970A3C">
              <w:rPr>
                <w:sz w:val="24"/>
                <w:szCs w:val="24"/>
              </w:rPr>
              <w:t xml:space="preserve"> privind regimul finanțărilor </w:t>
            </w:r>
            <w:r w:rsidRPr="00970A3C">
              <w:rPr>
                <w:sz w:val="24"/>
                <w:szCs w:val="24"/>
              </w:rPr>
              <w:lastRenderedPageBreak/>
              <w:t>nerambursabile din fonduri publice alocate pentru activități nonprofit de interes general, republicată, cu modificările și completările ulterioare</w:t>
            </w:r>
          </w:p>
          <w:p w:rsidR="00F946AD" w:rsidRPr="00970A3C" w:rsidRDefault="00D81712" w:rsidP="00970A3C">
            <w:pPr>
              <w:numPr>
                <w:ilvl w:val="0"/>
                <w:numId w:val="26"/>
              </w:numPr>
              <w:ind w:left="35" w:right="-86" w:firstLine="0"/>
              <w:jc w:val="both"/>
              <w:rPr>
                <w:sz w:val="24"/>
                <w:szCs w:val="24"/>
                <w:lang w:val="ro-RO"/>
              </w:rPr>
            </w:pPr>
            <w:r w:rsidRPr="00970A3C">
              <w:rPr>
                <w:sz w:val="24"/>
                <w:szCs w:val="24"/>
                <w:lang w:val="ro-RO"/>
              </w:rPr>
              <w:t>Parteneriatul strategic între autoritatea publică şi ONG-uri, sindicate și patronate</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F946AD" w:rsidRPr="002C5FE8" w:rsidRDefault="00F946AD" w:rsidP="00C94782">
            <w:pPr>
              <w:jc w:val="center"/>
              <w:rPr>
                <w:b/>
                <w:sz w:val="24"/>
                <w:szCs w:val="24"/>
                <w:lang w:val="ro-RO"/>
              </w:rPr>
            </w:pPr>
          </w:p>
          <w:p w:rsidR="00F946AD" w:rsidRPr="002C5FE8" w:rsidRDefault="00F946AD" w:rsidP="00C94782">
            <w:pPr>
              <w:jc w:val="center"/>
              <w:rPr>
                <w:b/>
                <w:sz w:val="24"/>
                <w:szCs w:val="24"/>
                <w:lang w:val="ro-RO"/>
              </w:rPr>
            </w:pPr>
            <w:r w:rsidRPr="002C5FE8">
              <w:rPr>
                <w:b/>
                <w:sz w:val="24"/>
                <w:szCs w:val="24"/>
                <w:lang w:val="ro-RO"/>
              </w:rPr>
              <w:t>SERVICIUL SĂNĂTATE ŞI SECURITATE ÎN MUNCĂ</w:t>
            </w:r>
          </w:p>
        </w:tc>
        <w:tc>
          <w:tcPr>
            <w:tcW w:w="5969" w:type="dxa"/>
            <w:tcBorders>
              <w:top w:val="single" w:sz="4" w:space="0" w:color="auto"/>
              <w:left w:val="single" w:sz="4" w:space="0" w:color="auto"/>
              <w:bottom w:val="single" w:sz="4" w:space="0" w:color="auto"/>
              <w:right w:val="single" w:sz="4" w:space="0" w:color="auto"/>
            </w:tcBorders>
            <w:hideMark/>
          </w:tcPr>
          <w:p w:rsidR="00F946AD" w:rsidRPr="00970A3C" w:rsidRDefault="00F946AD" w:rsidP="00970A3C">
            <w:pPr>
              <w:ind w:left="35" w:right="-86"/>
              <w:jc w:val="both"/>
              <w:rPr>
                <w:sz w:val="24"/>
                <w:szCs w:val="24"/>
                <w:lang w:val="ro-RO"/>
              </w:rPr>
            </w:pPr>
          </w:p>
          <w:p w:rsidR="00F946AD" w:rsidRPr="00970A3C" w:rsidRDefault="00F946AD" w:rsidP="00970A3C">
            <w:pPr>
              <w:ind w:left="35" w:right="-86"/>
              <w:jc w:val="center"/>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DIRECŢIA DE INTEGRITATE</w:t>
            </w:r>
          </w:p>
        </w:tc>
        <w:tc>
          <w:tcPr>
            <w:tcW w:w="5969" w:type="dxa"/>
            <w:tcBorders>
              <w:top w:val="single" w:sz="4" w:space="0" w:color="auto"/>
              <w:left w:val="single" w:sz="4" w:space="0" w:color="auto"/>
              <w:bottom w:val="single" w:sz="4" w:space="0" w:color="auto"/>
              <w:right w:val="single" w:sz="4" w:space="0" w:color="auto"/>
            </w:tcBorders>
          </w:tcPr>
          <w:p w:rsidR="00377430" w:rsidRPr="00970A3C" w:rsidRDefault="00377430" w:rsidP="00970A3C">
            <w:pPr>
              <w:pStyle w:val="Listparagraf"/>
              <w:numPr>
                <w:ilvl w:val="0"/>
                <w:numId w:val="25"/>
              </w:numPr>
              <w:shd w:val="clear" w:color="auto" w:fill="FFFFFF"/>
              <w:tabs>
                <w:tab w:val="num" w:pos="360"/>
              </w:tabs>
              <w:ind w:left="35" w:right="-86" w:firstLine="0"/>
              <w:jc w:val="both"/>
              <w:rPr>
                <w:sz w:val="24"/>
                <w:szCs w:val="24"/>
                <w:lang w:val="ro-RO" w:eastAsia="ro-RO"/>
              </w:rPr>
            </w:pPr>
            <w:r w:rsidRPr="00970A3C">
              <w:rPr>
                <w:sz w:val="24"/>
                <w:szCs w:val="24"/>
                <w:lang w:val="ro-RO" w:eastAsia="ro-RO"/>
              </w:rPr>
              <w:t>Îmbunătățirea capacității de gestionare a eșecului de management prin corelarea instrumentelor care au impact asupra identificării timpurii a riscurilor și vulnerabilităților instituționale;</w:t>
            </w:r>
          </w:p>
          <w:p w:rsidR="00377430" w:rsidRPr="00970A3C" w:rsidRDefault="00377430" w:rsidP="00970A3C">
            <w:pPr>
              <w:shd w:val="clear" w:color="auto" w:fill="FFFFFF"/>
              <w:tabs>
                <w:tab w:val="num" w:pos="360"/>
              </w:tabs>
              <w:ind w:left="35" w:right="-86"/>
              <w:jc w:val="both"/>
              <w:rPr>
                <w:sz w:val="24"/>
                <w:szCs w:val="24"/>
                <w:lang w:val="ro-RO" w:eastAsia="ro-RO"/>
              </w:rPr>
            </w:pPr>
            <w:r w:rsidRPr="00970A3C">
              <w:rPr>
                <w:sz w:val="24"/>
                <w:szCs w:val="24"/>
                <w:lang w:val="ro-RO" w:eastAsia="ro-RO"/>
              </w:rPr>
              <w:t>● Creșterea integrității, reducerea vulnerabilităților și a riscurilor de corupție;</w:t>
            </w:r>
          </w:p>
          <w:p w:rsidR="00377430" w:rsidRPr="00970A3C" w:rsidRDefault="00EB4EA3" w:rsidP="00970A3C">
            <w:pPr>
              <w:shd w:val="clear" w:color="auto" w:fill="FFFFFF"/>
              <w:tabs>
                <w:tab w:val="num" w:pos="360"/>
              </w:tabs>
              <w:ind w:left="35" w:right="-86"/>
              <w:jc w:val="both"/>
              <w:rPr>
                <w:sz w:val="24"/>
                <w:szCs w:val="24"/>
                <w:lang w:val="ro-RO" w:eastAsia="ro-RO"/>
              </w:rPr>
            </w:pPr>
            <w:r w:rsidRPr="00970A3C">
              <w:rPr>
                <w:sz w:val="24"/>
                <w:szCs w:val="24"/>
                <w:lang w:val="ro-RO" w:eastAsia="ro-RO"/>
              </w:rPr>
              <w:t>●</w:t>
            </w:r>
            <w:r w:rsidR="00377430" w:rsidRPr="00970A3C">
              <w:rPr>
                <w:sz w:val="24"/>
                <w:szCs w:val="24"/>
                <w:lang w:val="ro-RO" w:eastAsia="ro-RO"/>
              </w:rPr>
              <w:t>Creșterea gradului de educație anticorupție a angajaților și a beneficiarilor serviciilor publice;</w:t>
            </w:r>
          </w:p>
          <w:p w:rsidR="00F946AD" w:rsidRPr="00970A3C" w:rsidRDefault="00377430" w:rsidP="00970A3C">
            <w:pPr>
              <w:tabs>
                <w:tab w:val="num" w:pos="360"/>
              </w:tabs>
              <w:ind w:left="35" w:right="-86"/>
              <w:jc w:val="both"/>
              <w:rPr>
                <w:sz w:val="24"/>
                <w:szCs w:val="24"/>
                <w:lang w:val="ro-RO"/>
              </w:rPr>
            </w:pPr>
            <w:r w:rsidRPr="00970A3C">
              <w:rPr>
                <w:sz w:val="24"/>
                <w:szCs w:val="24"/>
                <w:lang w:val="ro-RO" w:eastAsia="ro-RO"/>
              </w:rPr>
              <w:t xml:space="preserve">● Consolidarea integrității instituționale prin planuri dezvoltate pe bază de analiză de risc și standarde </w:t>
            </w:r>
            <w:r w:rsidR="00812E48">
              <w:rPr>
                <w:sz w:val="24"/>
                <w:szCs w:val="24"/>
                <w:lang w:val="ro-RO" w:eastAsia="ro-RO"/>
              </w:rPr>
              <w:t>de control intern managerial.</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CORPUL DE CONTROL AL PRIMARULUI GENERAL AL MUNICIPIULUI BUCUREŞTI</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pStyle w:val="Listparagraf"/>
              <w:tabs>
                <w:tab w:val="left" w:pos="0"/>
                <w:tab w:val="left" w:pos="162"/>
              </w:tabs>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DIRECȚIA GUVERNANȚĂ CORPORATIVĂ</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pStyle w:val="Listparagraf"/>
              <w:tabs>
                <w:tab w:val="left" w:pos="0"/>
                <w:tab w:val="left" w:pos="162"/>
              </w:tabs>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DIRECȚIA GENERALĂ SITUAȚII DE URGENȚĂ, STATISTICI ȘI STRATEGII</w:t>
            </w:r>
          </w:p>
          <w:p w:rsidR="00F946AD" w:rsidRPr="002C5FE8" w:rsidRDefault="00F946AD" w:rsidP="00C94782">
            <w:pPr>
              <w:jc w:val="center"/>
              <w:rPr>
                <w:b/>
                <w:sz w:val="24"/>
                <w:szCs w:val="24"/>
                <w:lang w:val="ro-RO"/>
              </w:rPr>
            </w:pPr>
          </w:p>
          <w:p w:rsidR="00F946AD" w:rsidRPr="002C5FE8" w:rsidRDefault="00F946AD" w:rsidP="00C94782">
            <w:pPr>
              <w:jc w:val="center"/>
              <w:rPr>
                <w:b/>
                <w:sz w:val="24"/>
                <w:szCs w:val="24"/>
                <w:lang w:val="ro-RO"/>
              </w:rPr>
            </w:pPr>
            <w:r w:rsidRPr="002C5FE8">
              <w:rPr>
                <w:b/>
                <w:sz w:val="24"/>
                <w:szCs w:val="24"/>
                <w:lang w:val="ro-RO"/>
              </w:rPr>
              <w:t xml:space="preserve">SERVICIUL </w:t>
            </w:r>
          </w:p>
          <w:p w:rsidR="00F946AD" w:rsidRPr="002C5FE8" w:rsidRDefault="00F946AD" w:rsidP="00C94782">
            <w:pPr>
              <w:jc w:val="center"/>
              <w:rPr>
                <w:b/>
                <w:sz w:val="24"/>
                <w:szCs w:val="24"/>
                <w:lang w:val="ro-RO"/>
              </w:rPr>
            </w:pPr>
            <w:r w:rsidRPr="002C5FE8">
              <w:rPr>
                <w:b/>
                <w:sz w:val="24"/>
                <w:szCs w:val="24"/>
                <w:lang w:val="ro-RO"/>
              </w:rPr>
              <w:t>INTEGRARE MULTICULTURALĂ</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pStyle w:val="Listparagraf"/>
              <w:tabs>
                <w:tab w:val="left" w:pos="0"/>
                <w:tab w:val="left" w:pos="162"/>
              </w:tabs>
              <w:ind w:left="35" w:right="-86"/>
              <w:jc w:val="both"/>
              <w:rPr>
                <w:sz w:val="24"/>
                <w:szCs w:val="24"/>
                <w:lang w:val="ro-RO"/>
              </w:rPr>
            </w:pPr>
          </w:p>
          <w:p w:rsidR="00F946AD" w:rsidRPr="00970A3C" w:rsidRDefault="00467519" w:rsidP="00970A3C">
            <w:pPr>
              <w:pStyle w:val="Listparagraf"/>
              <w:tabs>
                <w:tab w:val="left" w:pos="0"/>
                <w:tab w:val="left" w:pos="162"/>
              </w:tabs>
              <w:ind w:left="35" w:right="-86"/>
              <w:jc w:val="both"/>
              <w:rPr>
                <w:sz w:val="24"/>
                <w:szCs w:val="24"/>
                <w:lang w:val="ro-RO"/>
              </w:rPr>
            </w:pPr>
            <w:r w:rsidRPr="00970A3C">
              <w:rPr>
                <w:sz w:val="24"/>
                <w:szCs w:val="24"/>
                <w:lang w:val="ro-RO"/>
              </w:rPr>
              <w:t>SIM, DGSUSS participă la implementarea Strategiei Naționale privind Imigrația pentru perioada 2019 – 2022</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DIRECȚIA GENERALĂ SITUAȚII DE URGENȚĂ, STATISTICI ȘI STRATEGII</w:t>
            </w:r>
          </w:p>
          <w:p w:rsidR="00F946AD" w:rsidRPr="002C5FE8" w:rsidRDefault="00F946AD" w:rsidP="00C94782">
            <w:pPr>
              <w:jc w:val="center"/>
              <w:rPr>
                <w:b/>
                <w:sz w:val="24"/>
                <w:szCs w:val="24"/>
                <w:lang w:val="ro-RO"/>
              </w:rPr>
            </w:pPr>
          </w:p>
          <w:p w:rsidR="00F946AD" w:rsidRPr="002C5FE8" w:rsidRDefault="00F946AD" w:rsidP="00C94782">
            <w:pPr>
              <w:jc w:val="center"/>
              <w:rPr>
                <w:b/>
                <w:sz w:val="24"/>
                <w:szCs w:val="24"/>
                <w:lang w:val="ro-RO"/>
              </w:rPr>
            </w:pPr>
            <w:r w:rsidRPr="002C5FE8">
              <w:rPr>
                <w:b/>
                <w:sz w:val="24"/>
                <w:szCs w:val="24"/>
                <w:lang w:val="ro-RO"/>
              </w:rPr>
              <w:t>DIRECȚIA STATISTICI ȘI STRATEGII</w:t>
            </w:r>
          </w:p>
        </w:tc>
        <w:tc>
          <w:tcPr>
            <w:tcW w:w="5969" w:type="dxa"/>
            <w:tcBorders>
              <w:top w:val="single" w:sz="4" w:space="0" w:color="auto"/>
              <w:left w:val="single" w:sz="4" w:space="0" w:color="auto"/>
              <w:bottom w:val="single" w:sz="4" w:space="0" w:color="auto"/>
              <w:right w:val="single" w:sz="4" w:space="0" w:color="auto"/>
            </w:tcBorders>
          </w:tcPr>
          <w:p w:rsidR="00F946AD" w:rsidRPr="00970A3C" w:rsidRDefault="00F946AD" w:rsidP="00970A3C">
            <w:pPr>
              <w:pStyle w:val="Listparagraf"/>
              <w:tabs>
                <w:tab w:val="left" w:pos="0"/>
                <w:tab w:val="left" w:pos="162"/>
              </w:tabs>
              <w:ind w:left="35" w:right="-86"/>
              <w:jc w:val="both"/>
              <w:rPr>
                <w:sz w:val="24"/>
                <w:szCs w:val="24"/>
                <w:lang w:val="ro-RO"/>
              </w:rPr>
            </w:pPr>
            <w:r w:rsidRPr="00970A3C">
              <w:rPr>
                <w:sz w:val="24"/>
                <w:szCs w:val="24"/>
                <w:lang w:val="ro-RO"/>
              </w:rPr>
              <w:t>-</w:t>
            </w: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DIRECȚIA GENERALĂ SITUAȚII DE URGENȚĂ, STATISTICI ȘI STRATEGII</w:t>
            </w:r>
          </w:p>
          <w:p w:rsidR="00F946AD" w:rsidRPr="002C5FE8" w:rsidRDefault="00F946AD" w:rsidP="00C94782">
            <w:pPr>
              <w:jc w:val="center"/>
              <w:rPr>
                <w:b/>
                <w:sz w:val="24"/>
                <w:szCs w:val="24"/>
                <w:lang w:val="ro-RO"/>
              </w:rPr>
            </w:pPr>
          </w:p>
          <w:p w:rsidR="00F946AD" w:rsidRPr="002C5FE8" w:rsidRDefault="00F946AD" w:rsidP="00C94782">
            <w:pPr>
              <w:jc w:val="center"/>
              <w:rPr>
                <w:b/>
                <w:sz w:val="24"/>
                <w:szCs w:val="24"/>
                <w:lang w:val="ro-RO"/>
              </w:rPr>
            </w:pPr>
            <w:r w:rsidRPr="002C5FE8">
              <w:rPr>
                <w:b/>
                <w:sz w:val="24"/>
                <w:szCs w:val="24"/>
                <w:lang w:val="ro-RO"/>
              </w:rPr>
              <w:t>DIRECȚIA ÎNZESTRARE MATERIALĂ ȘI SITUAȚII DE URGENȚĂ</w:t>
            </w:r>
          </w:p>
        </w:tc>
        <w:tc>
          <w:tcPr>
            <w:tcW w:w="5969" w:type="dxa"/>
            <w:tcBorders>
              <w:top w:val="single" w:sz="4" w:space="0" w:color="auto"/>
              <w:left w:val="single" w:sz="4" w:space="0" w:color="auto"/>
              <w:bottom w:val="single" w:sz="4" w:space="0" w:color="auto"/>
              <w:right w:val="single" w:sz="4" w:space="0" w:color="auto"/>
            </w:tcBorders>
          </w:tcPr>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Măsuri organizatorice de pregătire pe linia protecției civile și situații de urgență:</w:t>
            </w:r>
          </w:p>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Reabilitarea sistemului de înștiințare-alarmare a populației în situații de urgență;</w:t>
            </w:r>
          </w:p>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Dezvoltarea taberelor de sinistrați pentru situații de urgență;</w:t>
            </w:r>
          </w:p>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Înființarea de noi subunități de pompieri/puncte de lucru la nivelul zonei de competență a ISUBIF;</w:t>
            </w:r>
          </w:p>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 xml:space="preserve">Dotarea cu materiale și echipamente a forțelor de </w:t>
            </w:r>
            <w:r w:rsidRPr="00970A3C">
              <w:rPr>
                <w:rFonts w:eastAsia="Calibri"/>
                <w:sz w:val="24"/>
                <w:szCs w:val="24"/>
                <w:lang w:val="ro-RO"/>
              </w:rPr>
              <w:lastRenderedPageBreak/>
              <w:t>intervenție în situații de urgență și a spațiilor proprii de depozitare.</w:t>
            </w:r>
          </w:p>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 xml:space="preserve"> </w:t>
            </w:r>
          </w:p>
          <w:p w:rsidR="003823BC" w:rsidRPr="00970A3C" w:rsidRDefault="003823BC" w:rsidP="00970A3C">
            <w:pPr>
              <w:ind w:left="35" w:right="-86"/>
              <w:jc w:val="both"/>
              <w:rPr>
                <w:rFonts w:eastAsia="Calibri"/>
                <w:sz w:val="24"/>
                <w:szCs w:val="24"/>
                <w:lang w:val="ro-RO"/>
              </w:rPr>
            </w:pPr>
            <w:r w:rsidRPr="00970A3C">
              <w:rPr>
                <w:rFonts w:eastAsia="Calibri"/>
                <w:sz w:val="24"/>
                <w:szCs w:val="24"/>
                <w:lang w:val="ro-RO"/>
              </w:rPr>
              <w:t>Program anual de achiziții publice</w:t>
            </w:r>
          </w:p>
          <w:p w:rsidR="00F946AD" w:rsidRPr="00970A3C" w:rsidRDefault="00F946AD" w:rsidP="00970A3C">
            <w:pPr>
              <w:pStyle w:val="Listparagraf"/>
              <w:tabs>
                <w:tab w:val="left" w:pos="0"/>
                <w:tab w:val="left" w:pos="162"/>
              </w:tabs>
              <w:ind w:left="35" w:right="-86"/>
              <w:jc w:val="both"/>
              <w:rPr>
                <w:sz w:val="24"/>
                <w:szCs w:val="24"/>
                <w:lang w:val="ro-RO"/>
              </w:rPr>
            </w:pPr>
          </w:p>
        </w:tc>
      </w:tr>
      <w:tr w:rsidR="002C5FE8"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F946A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F946AD" w:rsidRPr="002C5FE8" w:rsidRDefault="00F946AD" w:rsidP="00C94782">
            <w:pPr>
              <w:jc w:val="center"/>
              <w:rPr>
                <w:b/>
                <w:sz w:val="24"/>
                <w:szCs w:val="24"/>
                <w:lang w:val="ro-RO"/>
              </w:rPr>
            </w:pPr>
            <w:r w:rsidRPr="002C5FE8">
              <w:rPr>
                <w:b/>
                <w:sz w:val="24"/>
                <w:szCs w:val="24"/>
                <w:lang w:val="ro-RO"/>
              </w:rPr>
              <w:t>SERVICIUL EURO 2020</w:t>
            </w:r>
          </w:p>
        </w:tc>
        <w:tc>
          <w:tcPr>
            <w:tcW w:w="5969" w:type="dxa"/>
            <w:tcBorders>
              <w:top w:val="single" w:sz="4" w:space="0" w:color="auto"/>
              <w:left w:val="single" w:sz="4" w:space="0" w:color="auto"/>
              <w:bottom w:val="single" w:sz="4" w:space="0" w:color="auto"/>
              <w:right w:val="single" w:sz="4" w:space="0" w:color="auto"/>
            </w:tcBorders>
          </w:tcPr>
          <w:p w:rsidR="00F946AD" w:rsidRPr="006D73E3" w:rsidRDefault="00F946AD" w:rsidP="00970A3C">
            <w:pPr>
              <w:pStyle w:val="Listparagraf"/>
              <w:tabs>
                <w:tab w:val="left" w:pos="0"/>
                <w:tab w:val="left" w:pos="162"/>
              </w:tabs>
              <w:ind w:left="35" w:right="-86"/>
              <w:jc w:val="both"/>
              <w:rPr>
                <w:sz w:val="24"/>
                <w:szCs w:val="24"/>
                <w:lang w:val="ro-RO"/>
              </w:rPr>
            </w:pPr>
            <w:r w:rsidRPr="006D73E3">
              <w:rPr>
                <w:sz w:val="24"/>
                <w:szCs w:val="24"/>
                <w:lang w:val="ro-RO"/>
              </w:rPr>
              <w:t>Pregătirea şi organizarea Campionatului European 2020 pe teritoriul oraşului gazdă Bucureşti</w:t>
            </w:r>
          </w:p>
        </w:tc>
      </w:tr>
      <w:tr w:rsidR="007A0F0F"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7A0F0F" w:rsidRPr="002C5FE8" w:rsidRDefault="007A0F0F" w:rsidP="0048065E">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7A0F0F" w:rsidRPr="002C5FE8" w:rsidRDefault="007A0F0F" w:rsidP="0048065E">
            <w:pPr>
              <w:jc w:val="center"/>
              <w:rPr>
                <w:b/>
                <w:sz w:val="24"/>
                <w:szCs w:val="24"/>
                <w:lang w:val="ro-RO"/>
              </w:rPr>
            </w:pPr>
            <w:r>
              <w:rPr>
                <w:b/>
                <w:sz w:val="24"/>
                <w:szCs w:val="24"/>
                <w:lang w:val="ro-RO"/>
              </w:rPr>
              <w:t>BIROUL DOCUMENTE SECRETE</w:t>
            </w:r>
          </w:p>
        </w:tc>
        <w:tc>
          <w:tcPr>
            <w:tcW w:w="5969" w:type="dxa"/>
            <w:tcBorders>
              <w:top w:val="single" w:sz="4" w:space="0" w:color="auto"/>
              <w:left w:val="single" w:sz="4" w:space="0" w:color="auto"/>
              <w:bottom w:val="single" w:sz="4" w:space="0" w:color="auto"/>
              <w:right w:val="single" w:sz="4" w:space="0" w:color="auto"/>
            </w:tcBorders>
          </w:tcPr>
          <w:p w:rsidR="007A0F0F" w:rsidRPr="00970A3C" w:rsidRDefault="002A14E2" w:rsidP="00970A3C">
            <w:pPr>
              <w:ind w:left="35" w:right="-86"/>
              <w:rPr>
                <w:color w:val="FF0000"/>
                <w:sz w:val="24"/>
                <w:szCs w:val="24"/>
                <w:lang w:val="ro-RO"/>
              </w:rPr>
            </w:pPr>
            <w:r w:rsidRPr="00970A3C">
              <w:rPr>
                <w:sz w:val="24"/>
                <w:szCs w:val="24"/>
                <w:lang w:val="ro-RO"/>
              </w:rPr>
              <w:t>-</w:t>
            </w:r>
          </w:p>
        </w:tc>
      </w:tr>
      <w:tr w:rsidR="002B49D3" w:rsidRPr="002C5FE8" w:rsidTr="00C94782">
        <w:tc>
          <w:tcPr>
            <w:tcW w:w="786" w:type="dxa"/>
            <w:tcBorders>
              <w:top w:val="single" w:sz="4" w:space="0" w:color="auto"/>
              <w:left w:val="single" w:sz="4" w:space="0" w:color="auto"/>
              <w:bottom w:val="single" w:sz="4" w:space="0" w:color="auto"/>
              <w:right w:val="single" w:sz="4" w:space="0" w:color="auto"/>
            </w:tcBorders>
            <w:vAlign w:val="center"/>
          </w:tcPr>
          <w:p w:rsidR="002B49D3" w:rsidRPr="002C5FE8" w:rsidRDefault="002B49D3" w:rsidP="0048065E">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2B49D3" w:rsidRDefault="002B49D3" w:rsidP="0048065E">
            <w:pPr>
              <w:jc w:val="center"/>
              <w:rPr>
                <w:b/>
                <w:sz w:val="24"/>
                <w:szCs w:val="24"/>
                <w:lang w:val="ro-RO"/>
              </w:rPr>
            </w:pPr>
            <w:r>
              <w:rPr>
                <w:b/>
                <w:sz w:val="24"/>
                <w:szCs w:val="24"/>
                <w:lang w:val="ro-RO"/>
              </w:rPr>
              <w:t>DIRECŢIA MONITORIZARE RECUPERARE DEBITE/CREANŢE</w:t>
            </w:r>
          </w:p>
        </w:tc>
        <w:tc>
          <w:tcPr>
            <w:tcW w:w="5969" w:type="dxa"/>
            <w:tcBorders>
              <w:top w:val="single" w:sz="4" w:space="0" w:color="auto"/>
              <w:left w:val="single" w:sz="4" w:space="0" w:color="auto"/>
              <w:bottom w:val="single" w:sz="4" w:space="0" w:color="auto"/>
              <w:right w:val="single" w:sz="4" w:space="0" w:color="auto"/>
            </w:tcBorders>
          </w:tcPr>
          <w:p w:rsidR="002B49D3" w:rsidRPr="00482D92" w:rsidRDefault="002A14E2" w:rsidP="0048065E">
            <w:pPr>
              <w:rPr>
                <w:color w:val="FF0000"/>
                <w:sz w:val="28"/>
                <w:szCs w:val="28"/>
              </w:rPr>
            </w:pPr>
            <w:r w:rsidRPr="00970A3C">
              <w:rPr>
                <w:sz w:val="24"/>
                <w:szCs w:val="24"/>
                <w:lang w:val="ro-RO"/>
              </w:rPr>
              <w:t>-</w:t>
            </w:r>
          </w:p>
        </w:tc>
      </w:tr>
    </w:tbl>
    <w:p w:rsidR="00F946AD" w:rsidRPr="002C5FE8" w:rsidRDefault="00F946AD" w:rsidP="00F946AD">
      <w:pPr>
        <w:spacing w:after="0" w:line="240" w:lineRule="auto"/>
        <w:jc w:val="both"/>
        <w:outlineLvl w:val="0"/>
        <w:rPr>
          <w:b/>
          <w:bCs/>
          <w:sz w:val="24"/>
          <w:szCs w:val="24"/>
          <w:lang w:val="ro-RO"/>
        </w:rPr>
      </w:pPr>
    </w:p>
    <w:p w:rsidR="00F946AD" w:rsidRPr="002C5FE8" w:rsidRDefault="00F946AD" w:rsidP="00F946AD">
      <w:pPr>
        <w:spacing w:after="0" w:line="240" w:lineRule="auto"/>
        <w:jc w:val="both"/>
        <w:outlineLvl w:val="0"/>
        <w:rPr>
          <w:b/>
          <w:bCs/>
          <w:sz w:val="24"/>
          <w:szCs w:val="24"/>
          <w:lang w:val="ro-RO"/>
        </w:rPr>
      </w:pPr>
    </w:p>
    <w:p w:rsidR="00697CF0" w:rsidRPr="002C5FE8" w:rsidRDefault="00697CF0" w:rsidP="00F946AD"/>
    <w:sectPr w:rsidR="00697CF0" w:rsidRPr="002C5FE8" w:rsidSect="00CA29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EF" w:rsidRDefault="005A4DEF" w:rsidP="0064662D">
      <w:pPr>
        <w:spacing w:after="0" w:line="240" w:lineRule="auto"/>
      </w:pPr>
      <w:r>
        <w:separator/>
      </w:r>
    </w:p>
  </w:endnote>
  <w:endnote w:type="continuationSeparator" w:id="0">
    <w:p w:rsidR="005A4DEF" w:rsidRDefault="005A4DEF" w:rsidP="0064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610"/>
      <w:docPartObj>
        <w:docPartGallery w:val="Page Numbers (Bottom of Page)"/>
        <w:docPartUnique/>
      </w:docPartObj>
    </w:sdtPr>
    <w:sdtEndPr/>
    <w:sdtContent>
      <w:p w:rsidR="0064662D" w:rsidRDefault="006F5ED5">
        <w:pPr>
          <w:pStyle w:val="Subsol"/>
        </w:pPr>
        <w:r>
          <w:fldChar w:fldCharType="begin"/>
        </w:r>
        <w:r w:rsidR="00381DBA">
          <w:instrText xml:space="preserve"> PAGE   \* MERGEFORMAT </w:instrText>
        </w:r>
        <w:r>
          <w:fldChar w:fldCharType="separate"/>
        </w:r>
        <w:r w:rsidR="002104E9">
          <w:rPr>
            <w:noProof/>
          </w:rPr>
          <w:t>1</w:t>
        </w:r>
        <w:r>
          <w:rPr>
            <w:noProof/>
          </w:rPr>
          <w:fldChar w:fldCharType="end"/>
        </w:r>
      </w:p>
    </w:sdtContent>
  </w:sdt>
  <w:p w:rsidR="0064662D" w:rsidRDefault="006466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EF" w:rsidRDefault="005A4DEF" w:rsidP="0064662D">
      <w:pPr>
        <w:spacing w:after="0" w:line="240" w:lineRule="auto"/>
      </w:pPr>
      <w:r>
        <w:separator/>
      </w:r>
    </w:p>
  </w:footnote>
  <w:footnote w:type="continuationSeparator" w:id="0">
    <w:p w:rsidR="005A4DEF" w:rsidRDefault="005A4DEF" w:rsidP="0064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FC"/>
    <w:multiLevelType w:val="hybridMultilevel"/>
    <w:tmpl w:val="C94C2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36570FB"/>
    <w:multiLevelType w:val="hybridMultilevel"/>
    <w:tmpl w:val="415A6A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C403240"/>
    <w:multiLevelType w:val="hybridMultilevel"/>
    <w:tmpl w:val="0DE8C55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209BE"/>
    <w:multiLevelType w:val="hybridMultilevel"/>
    <w:tmpl w:val="0B66B6D2"/>
    <w:lvl w:ilvl="0" w:tplc="AB08B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F472F"/>
    <w:multiLevelType w:val="hybridMultilevel"/>
    <w:tmpl w:val="01CAFC3A"/>
    <w:lvl w:ilvl="0" w:tplc="8A8EDFDE">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BE306C1"/>
    <w:multiLevelType w:val="hybridMultilevel"/>
    <w:tmpl w:val="68D4EB86"/>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1FEF5B05"/>
    <w:multiLevelType w:val="hybridMultilevel"/>
    <w:tmpl w:val="43CA2854"/>
    <w:lvl w:ilvl="0" w:tplc="04180001">
      <w:start w:val="1"/>
      <w:numFmt w:val="bullet"/>
      <w:lvlText w:val=""/>
      <w:lvlJc w:val="left"/>
      <w:pPr>
        <w:tabs>
          <w:tab w:val="num" w:pos="360"/>
        </w:tabs>
        <w:ind w:left="360" w:hanging="360"/>
      </w:pPr>
      <w:rPr>
        <w:rFonts w:ascii="Symbol" w:hAnsi="Symbol"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5A4310A"/>
    <w:multiLevelType w:val="hybridMultilevel"/>
    <w:tmpl w:val="E71CE3B4"/>
    <w:lvl w:ilvl="0" w:tplc="192025F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0" w15:restartNumberingAfterBreak="0">
    <w:nsid w:val="3167083F"/>
    <w:multiLevelType w:val="hybridMultilevel"/>
    <w:tmpl w:val="ED685B70"/>
    <w:lvl w:ilvl="0" w:tplc="6CC094B2">
      <w:numFmt w:val="bullet"/>
      <w:lvlText w:val="-"/>
      <w:lvlJc w:val="left"/>
      <w:pPr>
        <w:ind w:left="394" w:hanging="360"/>
      </w:pPr>
      <w:rPr>
        <w:rFonts w:ascii="Arial" w:eastAsia="Times New Roman" w:hAnsi="Arial" w:cs="Aria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1" w15:restartNumberingAfterBreak="0">
    <w:nsid w:val="330B7014"/>
    <w:multiLevelType w:val="hybridMultilevel"/>
    <w:tmpl w:val="9AF2C874"/>
    <w:lvl w:ilvl="0" w:tplc="16A069EA">
      <w:numFmt w:val="bullet"/>
      <w:lvlText w:val="-"/>
      <w:lvlJc w:val="left"/>
      <w:pPr>
        <w:ind w:left="720" w:hanging="360"/>
      </w:pPr>
      <w:rPr>
        <w:rFonts w:ascii="Arial" w:eastAsia="Times New Roman" w:hAnsi="Arial" w:cs="Aria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1E4A2C"/>
    <w:multiLevelType w:val="hybridMultilevel"/>
    <w:tmpl w:val="8CF29710"/>
    <w:lvl w:ilvl="0" w:tplc="9A5A17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3125985"/>
    <w:multiLevelType w:val="hybridMultilevel"/>
    <w:tmpl w:val="D764ACE0"/>
    <w:lvl w:ilvl="0" w:tplc="04180001">
      <w:start w:val="1"/>
      <w:numFmt w:val="bullet"/>
      <w:lvlText w:val=""/>
      <w:lvlJc w:val="left"/>
      <w:pPr>
        <w:ind w:left="1830" w:hanging="360"/>
      </w:pPr>
      <w:rPr>
        <w:rFonts w:ascii="Symbol" w:hAnsi="Symbol" w:hint="default"/>
      </w:rPr>
    </w:lvl>
    <w:lvl w:ilvl="1" w:tplc="04180003" w:tentative="1">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14" w15:restartNumberingAfterBreak="0">
    <w:nsid w:val="4CCF768B"/>
    <w:multiLevelType w:val="hybridMultilevel"/>
    <w:tmpl w:val="679AEEA6"/>
    <w:lvl w:ilvl="0" w:tplc="20A0F7BC">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581C03AA"/>
    <w:multiLevelType w:val="hybridMultilevel"/>
    <w:tmpl w:val="8F6A69D0"/>
    <w:lvl w:ilvl="0" w:tplc="7F4C017E">
      <w:numFmt w:val="bullet"/>
      <w:lvlText w:val="-"/>
      <w:lvlJc w:val="left"/>
      <w:pPr>
        <w:ind w:left="536" w:hanging="360"/>
      </w:pPr>
      <w:rPr>
        <w:rFonts w:ascii="Arial" w:eastAsia="Times New Roman" w:hAnsi="Arial" w:cs="Arial"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6" w15:restartNumberingAfterBreak="0">
    <w:nsid w:val="586158F5"/>
    <w:multiLevelType w:val="hybridMultilevel"/>
    <w:tmpl w:val="7BFA955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3AF04C4"/>
    <w:multiLevelType w:val="hybridMultilevel"/>
    <w:tmpl w:val="28B29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3772A"/>
    <w:multiLevelType w:val="hybridMultilevel"/>
    <w:tmpl w:val="9B22E7C0"/>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19" w15:restartNumberingAfterBreak="0">
    <w:nsid w:val="6C6C4413"/>
    <w:multiLevelType w:val="hybridMultilevel"/>
    <w:tmpl w:val="B3DEBF7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FE62442"/>
    <w:multiLevelType w:val="hybridMultilevel"/>
    <w:tmpl w:val="629C61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FF83E17"/>
    <w:multiLevelType w:val="hybridMultilevel"/>
    <w:tmpl w:val="4EF0A15C"/>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2" w15:restartNumberingAfterBreak="0">
    <w:nsid w:val="74A47E40"/>
    <w:multiLevelType w:val="hybridMultilevel"/>
    <w:tmpl w:val="80CC8CB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DF2975"/>
    <w:multiLevelType w:val="hybridMultilevel"/>
    <w:tmpl w:val="B070423E"/>
    <w:lvl w:ilvl="0" w:tplc="7E82B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3"/>
  </w:num>
  <w:num w:numId="11">
    <w:abstractNumId w:val="2"/>
  </w:num>
  <w:num w:numId="12">
    <w:abstractNumId w:val="20"/>
  </w:num>
  <w:num w:numId="13">
    <w:abstractNumId w:val="10"/>
  </w:num>
  <w:num w:numId="14">
    <w:abstractNumId w:val="12"/>
  </w:num>
  <w:num w:numId="15">
    <w:abstractNumId w:val="22"/>
  </w:num>
  <w:num w:numId="16">
    <w:abstractNumId w:val="13"/>
  </w:num>
  <w:num w:numId="17">
    <w:abstractNumId w:val="16"/>
  </w:num>
  <w:num w:numId="18">
    <w:abstractNumId w:val="9"/>
  </w:num>
  <w:num w:numId="19">
    <w:abstractNumId w:val="19"/>
  </w:num>
  <w:num w:numId="20">
    <w:abstractNumId w:val="21"/>
  </w:num>
  <w:num w:numId="21">
    <w:abstractNumId w:val="18"/>
  </w:num>
  <w:num w:numId="22">
    <w:abstractNumId w:val="15"/>
  </w:num>
  <w:num w:numId="23">
    <w:abstractNumId w:val="6"/>
  </w:num>
  <w:num w:numId="24">
    <w:abstractNumId w:val="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984"/>
    <w:rsid w:val="00004A5A"/>
    <w:rsid w:val="00014995"/>
    <w:rsid w:val="000306B2"/>
    <w:rsid w:val="00030A10"/>
    <w:rsid w:val="00044966"/>
    <w:rsid w:val="000813F4"/>
    <w:rsid w:val="00085C4D"/>
    <w:rsid w:val="00095CFF"/>
    <w:rsid w:val="000B0843"/>
    <w:rsid w:val="000B241D"/>
    <w:rsid w:val="000B39CC"/>
    <w:rsid w:val="000C2196"/>
    <w:rsid w:val="000D12C1"/>
    <w:rsid w:val="000E5A31"/>
    <w:rsid w:val="00101E9B"/>
    <w:rsid w:val="00111258"/>
    <w:rsid w:val="0012226C"/>
    <w:rsid w:val="00122944"/>
    <w:rsid w:val="0012353C"/>
    <w:rsid w:val="00133842"/>
    <w:rsid w:val="001372CF"/>
    <w:rsid w:val="001449E0"/>
    <w:rsid w:val="00162251"/>
    <w:rsid w:val="00170564"/>
    <w:rsid w:val="00172B74"/>
    <w:rsid w:val="00176746"/>
    <w:rsid w:val="001A22D7"/>
    <w:rsid w:val="001A58BE"/>
    <w:rsid w:val="001A6282"/>
    <w:rsid w:val="001F08C4"/>
    <w:rsid w:val="002042DD"/>
    <w:rsid w:val="002104E9"/>
    <w:rsid w:val="00213ABD"/>
    <w:rsid w:val="00214984"/>
    <w:rsid w:val="00237871"/>
    <w:rsid w:val="00241629"/>
    <w:rsid w:val="00247F7E"/>
    <w:rsid w:val="00257ED6"/>
    <w:rsid w:val="00267F8E"/>
    <w:rsid w:val="00283DE3"/>
    <w:rsid w:val="002A14E2"/>
    <w:rsid w:val="002A64A5"/>
    <w:rsid w:val="002B49D3"/>
    <w:rsid w:val="002C1587"/>
    <w:rsid w:val="002C3BCB"/>
    <w:rsid w:val="002C5DF5"/>
    <w:rsid w:val="002C5FE8"/>
    <w:rsid w:val="002D1812"/>
    <w:rsid w:val="002D20DF"/>
    <w:rsid w:val="002D3847"/>
    <w:rsid w:val="002D406F"/>
    <w:rsid w:val="002D7F7F"/>
    <w:rsid w:val="002E2855"/>
    <w:rsid w:val="002E6CFA"/>
    <w:rsid w:val="002F583F"/>
    <w:rsid w:val="00313891"/>
    <w:rsid w:val="00340D30"/>
    <w:rsid w:val="00344D39"/>
    <w:rsid w:val="003576DB"/>
    <w:rsid w:val="0035783C"/>
    <w:rsid w:val="00377430"/>
    <w:rsid w:val="00381DBA"/>
    <w:rsid w:val="003823BC"/>
    <w:rsid w:val="003A061A"/>
    <w:rsid w:val="003C1130"/>
    <w:rsid w:val="003C56C3"/>
    <w:rsid w:val="003C5872"/>
    <w:rsid w:val="003D2544"/>
    <w:rsid w:val="003D7220"/>
    <w:rsid w:val="003E2494"/>
    <w:rsid w:val="003E62C9"/>
    <w:rsid w:val="003F6544"/>
    <w:rsid w:val="003F7018"/>
    <w:rsid w:val="004128B7"/>
    <w:rsid w:val="004175D4"/>
    <w:rsid w:val="00421733"/>
    <w:rsid w:val="00426376"/>
    <w:rsid w:val="00426902"/>
    <w:rsid w:val="00437306"/>
    <w:rsid w:val="00440F27"/>
    <w:rsid w:val="0045797D"/>
    <w:rsid w:val="0046658F"/>
    <w:rsid w:val="00467519"/>
    <w:rsid w:val="0047055A"/>
    <w:rsid w:val="00471CC8"/>
    <w:rsid w:val="00474A02"/>
    <w:rsid w:val="00476755"/>
    <w:rsid w:val="0048065E"/>
    <w:rsid w:val="00481DCE"/>
    <w:rsid w:val="00482D92"/>
    <w:rsid w:val="0048562F"/>
    <w:rsid w:val="00490C78"/>
    <w:rsid w:val="004A1849"/>
    <w:rsid w:val="004B3B7D"/>
    <w:rsid w:val="004D4110"/>
    <w:rsid w:val="00516001"/>
    <w:rsid w:val="00524EE1"/>
    <w:rsid w:val="0053081B"/>
    <w:rsid w:val="00534BA6"/>
    <w:rsid w:val="0054164F"/>
    <w:rsid w:val="005417CC"/>
    <w:rsid w:val="005446B6"/>
    <w:rsid w:val="00545741"/>
    <w:rsid w:val="00560874"/>
    <w:rsid w:val="00583518"/>
    <w:rsid w:val="005A4DEF"/>
    <w:rsid w:val="005B6BFE"/>
    <w:rsid w:val="005B6C0B"/>
    <w:rsid w:val="005C2D23"/>
    <w:rsid w:val="005C5AA4"/>
    <w:rsid w:val="005D56A5"/>
    <w:rsid w:val="005F20A4"/>
    <w:rsid w:val="005F3497"/>
    <w:rsid w:val="0060566C"/>
    <w:rsid w:val="0061391E"/>
    <w:rsid w:val="00634222"/>
    <w:rsid w:val="00642017"/>
    <w:rsid w:val="00643D19"/>
    <w:rsid w:val="0064662D"/>
    <w:rsid w:val="00656DF4"/>
    <w:rsid w:val="0066155F"/>
    <w:rsid w:val="00686356"/>
    <w:rsid w:val="00697CF0"/>
    <w:rsid w:val="006B1AE8"/>
    <w:rsid w:val="006D73E3"/>
    <w:rsid w:val="006F1C64"/>
    <w:rsid w:val="006F2374"/>
    <w:rsid w:val="006F25E2"/>
    <w:rsid w:val="006F552A"/>
    <w:rsid w:val="006F5ED5"/>
    <w:rsid w:val="0070411A"/>
    <w:rsid w:val="0070583F"/>
    <w:rsid w:val="007138BA"/>
    <w:rsid w:val="00722D5A"/>
    <w:rsid w:val="0074562C"/>
    <w:rsid w:val="00751C04"/>
    <w:rsid w:val="0075229B"/>
    <w:rsid w:val="007651F1"/>
    <w:rsid w:val="00770DCF"/>
    <w:rsid w:val="0077673C"/>
    <w:rsid w:val="0077797A"/>
    <w:rsid w:val="00783FFE"/>
    <w:rsid w:val="007A0F0F"/>
    <w:rsid w:val="007A2C24"/>
    <w:rsid w:val="007A4C39"/>
    <w:rsid w:val="007B1231"/>
    <w:rsid w:val="007B53A7"/>
    <w:rsid w:val="007C0AAC"/>
    <w:rsid w:val="007D2E9E"/>
    <w:rsid w:val="007D7400"/>
    <w:rsid w:val="007E3D13"/>
    <w:rsid w:val="007F4C23"/>
    <w:rsid w:val="00803122"/>
    <w:rsid w:val="00812E48"/>
    <w:rsid w:val="00817559"/>
    <w:rsid w:val="0083125F"/>
    <w:rsid w:val="00844E53"/>
    <w:rsid w:val="008671F3"/>
    <w:rsid w:val="00871954"/>
    <w:rsid w:val="00877627"/>
    <w:rsid w:val="008874ED"/>
    <w:rsid w:val="00892FD3"/>
    <w:rsid w:val="008A37BD"/>
    <w:rsid w:val="008B0AE4"/>
    <w:rsid w:val="008B2482"/>
    <w:rsid w:val="008B4868"/>
    <w:rsid w:val="008B55BE"/>
    <w:rsid w:val="008C3D1E"/>
    <w:rsid w:val="008C5605"/>
    <w:rsid w:val="00921A13"/>
    <w:rsid w:val="00924C4F"/>
    <w:rsid w:val="00955DDC"/>
    <w:rsid w:val="00970A3C"/>
    <w:rsid w:val="00991DD4"/>
    <w:rsid w:val="0099317B"/>
    <w:rsid w:val="00995130"/>
    <w:rsid w:val="009A3056"/>
    <w:rsid w:val="009A545C"/>
    <w:rsid w:val="009A552D"/>
    <w:rsid w:val="009A7B33"/>
    <w:rsid w:val="009B15A2"/>
    <w:rsid w:val="009B5319"/>
    <w:rsid w:val="009E0394"/>
    <w:rsid w:val="009F4CC3"/>
    <w:rsid w:val="009F5C97"/>
    <w:rsid w:val="009F66D8"/>
    <w:rsid w:val="00A13A1C"/>
    <w:rsid w:val="00A13D7E"/>
    <w:rsid w:val="00A21087"/>
    <w:rsid w:val="00A41BAE"/>
    <w:rsid w:val="00A433D9"/>
    <w:rsid w:val="00A600E4"/>
    <w:rsid w:val="00A605C3"/>
    <w:rsid w:val="00A71C42"/>
    <w:rsid w:val="00A7783F"/>
    <w:rsid w:val="00A834F4"/>
    <w:rsid w:val="00AA1EBF"/>
    <w:rsid w:val="00AA2D86"/>
    <w:rsid w:val="00AB3BDD"/>
    <w:rsid w:val="00AB55C9"/>
    <w:rsid w:val="00AC171C"/>
    <w:rsid w:val="00AC1B68"/>
    <w:rsid w:val="00AE6241"/>
    <w:rsid w:val="00AF0276"/>
    <w:rsid w:val="00AF7F60"/>
    <w:rsid w:val="00B02438"/>
    <w:rsid w:val="00B3487B"/>
    <w:rsid w:val="00B36C65"/>
    <w:rsid w:val="00B458C1"/>
    <w:rsid w:val="00B53738"/>
    <w:rsid w:val="00B54518"/>
    <w:rsid w:val="00B554C0"/>
    <w:rsid w:val="00B80B64"/>
    <w:rsid w:val="00B8106B"/>
    <w:rsid w:val="00B924BC"/>
    <w:rsid w:val="00BA4730"/>
    <w:rsid w:val="00BB0B78"/>
    <w:rsid w:val="00BB6A57"/>
    <w:rsid w:val="00BD5CF5"/>
    <w:rsid w:val="00BE0CD1"/>
    <w:rsid w:val="00C051D2"/>
    <w:rsid w:val="00C131EA"/>
    <w:rsid w:val="00C3392C"/>
    <w:rsid w:val="00C412BB"/>
    <w:rsid w:val="00C45A5E"/>
    <w:rsid w:val="00C473D5"/>
    <w:rsid w:val="00C528FE"/>
    <w:rsid w:val="00C7772B"/>
    <w:rsid w:val="00C80812"/>
    <w:rsid w:val="00C96620"/>
    <w:rsid w:val="00CA1492"/>
    <w:rsid w:val="00CA233F"/>
    <w:rsid w:val="00CA290F"/>
    <w:rsid w:val="00CA3D4F"/>
    <w:rsid w:val="00CC3AD2"/>
    <w:rsid w:val="00CC4917"/>
    <w:rsid w:val="00CD5B83"/>
    <w:rsid w:val="00CE1414"/>
    <w:rsid w:val="00D247FA"/>
    <w:rsid w:val="00D267F2"/>
    <w:rsid w:val="00D81712"/>
    <w:rsid w:val="00DA0644"/>
    <w:rsid w:val="00DA63F1"/>
    <w:rsid w:val="00DA7120"/>
    <w:rsid w:val="00DD56C5"/>
    <w:rsid w:val="00E025E8"/>
    <w:rsid w:val="00E03FF8"/>
    <w:rsid w:val="00E1170F"/>
    <w:rsid w:val="00E35BB7"/>
    <w:rsid w:val="00E36013"/>
    <w:rsid w:val="00E4225B"/>
    <w:rsid w:val="00E46BD2"/>
    <w:rsid w:val="00E60470"/>
    <w:rsid w:val="00E67663"/>
    <w:rsid w:val="00E7283B"/>
    <w:rsid w:val="00E826AD"/>
    <w:rsid w:val="00E931CA"/>
    <w:rsid w:val="00EA2EDB"/>
    <w:rsid w:val="00EA77B1"/>
    <w:rsid w:val="00EB3863"/>
    <w:rsid w:val="00EB3C05"/>
    <w:rsid w:val="00EB4EA3"/>
    <w:rsid w:val="00EC0649"/>
    <w:rsid w:val="00ED6690"/>
    <w:rsid w:val="00EF1CFA"/>
    <w:rsid w:val="00EF41AD"/>
    <w:rsid w:val="00EF54D8"/>
    <w:rsid w:val="00F273EE"/>
    <w:rsid w:val="00F4085E"/>
    <w:rsid w:val="00F40B56"/>
    <w:rsid w:val="00F43E35"/>
    <w:rsid w:val="00F44F7D"/>
    <w:rsid w:val="00F45D90"/>
    <w:rsid w:val="00F47EDA"/>
    <w:rsid w:val="00F61797"/>
    <w:rsid w:val="00F627A4"/>
    <w:rsid w:val="00F65FE7"/>
    <w:rsid w:val="00F90051"/>
    <w:rsid w:val="00F946AD"/>
    <w:rsid w:val="00FA7997"/>
    <w:rsid w:val="00FB503E"/>
    <w:rsid w:val="00FB65AD"/>
    <w:rsid w:val="00FC0EF1"/>
    <w:rsid w:val="00FD1017"/>
    <w:rsid w:val="00FD325F"/>
    <w:rsid w:val="00FE6304"/>
    <w:rsid w:val="00FF754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8A5D"/>
  <w15:docId w15:val="{417EB990-6396-42F1-97F8-809B80E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214984"/>
    <w:rPr>
      <w:color w:val="0000FF"/>
      <w:u w:val="single"/>
    </w:rPr>
  </w:style>
  <w:style w:type="paragraph" w:styleId="Antet">
    <w:name w:val="header"/>
    <w:basedOn w:val="Normal"/>
    <w:link w:val="AntetCaracter"/>
    <w:uiPriority w:val="99"/>
    <w:unhideWhenUsed/>
    <w:rsid w:val="002149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14984"/>
    <w:rPr>
      <w:rFonts w:ascii="Arial" w:eastAsia="Times New Roman" w:hAnsi="Arial" w:cs="Arial"/>
    </w:rPr>
  </w:style>
  <w:style w:type="paragraph" w:customStyle="1" w:styleId="yiv1021435952msonormal">
    <w:name w:val="yiv1021435952msonormal"/>
    <w:basedOn w:val="Normal"/>
    <w:rsid w:val="00214984"/>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214984"/>
    <w:pPr>
      <w:spacing w:before="100" w:beforeAutospacing="1" w:after="100" w:afterAutospacing="1" w:line="240" w:lineRule="auto"/>
    </w:pPr>
    <w:rPr>
      <w:rFonts w:ascii="Times New Roman" w:eastAsia="Calibri" w:hAnsi="Times New Roman" w:cs="Times New Roman"/>
      <w:sz w:val="24"/>
      <w:szCs w:val="24"/>
    </w:rPr>
  </w:style>
  <w:style w:type="table" w:styleId="Tabelgril">
    <w:name w:val="Table Grid"/>
    <w:basedOn w:val="TabelNormal"/>
    <w:rsid w:val="00214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basedOn w:val="Fontdeparagrafimplicit"/>
    <w:semiHidden/>
    <w:unhideWhenUsed/>
    <w:rsid w:val="00214984"/>
    <w:rPr>
      <w:i/>
      <w:iCs/>
    </w:rPr>
  </w:style>
  <w:style w:type="paragraph" w:styleId="Subsol">
    <w:name w:val="footer"/>
    <w:basedOn w:val="Normal"/>
    <w:link w:val="SubsolCaracter"/>
    <w:uiPriority w:val="99"/>
    <w:unhideWhenUsed/>
    <w:rsid w:val="0064662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4662D"/>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45797D"/>
    <w:pPr>
      <w:ind w:left="720"/>
      <w:contextualSpacing/>
    </w:pPr>
  </w:style>
  <w:style w:type="paragraph" w:customStyle="1" w:styleId="yiv7274301197msonormal">
    <w:name w:val="yiv7274301197msonormal"/>
    <w:basedOn w:val="Normal"/>
    <w:rsid w:val="005F20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803122"/>
    <w:rPr>
      <w:rFonts w:ascii="Arial" w:eastAsia="Times New Roman" w:hAnsi="Arial" w:cs="Arial"/>
    </w:rPr>
  </w:style>
  <w:style w:type="paragraph" w:customStyle="1" w:styleId="HeaderPMBsecundar">
    <w:name w:val="Header PMB secundar"/>
    <w:basedOn w:val="Antet"/>
    <w:link w:val="HeaderPMBsecundarChar"/>
    <w:qFormat/>
    <w:rsid w:val="008C3D1E"/>
    <w:pPr>
      <w:spacing w:before="80" w:after="80"/>
      <w:ind w:left="2268"/>
    </w:pPr>
    <w:rPr>
      <w:color w:val="374956"/>
      <w:spacing w:val="-16"/>
      <w:sz w:val="40"/>
      <w:szCs w:val="40"/>
      <w:lang w:val="ro-RO"/>
    </w:rPr>
  </w:style>
  <w:style w:type="character" w:customStyle="1" w:styleId="HeaderPMBsecundarChar">
    <w:name w:val="Header PMB secundar Char"/>
    <w:link w:val="HeaderPMBsecundar"/>
    <w:rsid w:val="008C3D1E"/>
    <w:rPr>
      <w:rFonts w:ascii="Arial" w:eastAsia="Times New Roman" w:hAnsi="Arial" w:cs="Arial"/>
      <w:color w:val="374956"/>
      <w:spacing w:val="-16"/>
      <w:sz w:val="40"/>
      <w:szCs w:val="4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791">
      <w:bodyDiv w:val="1"/>
      <w:marLeft w:val="0"/>
      <w:marRight w:val="0"/>
      <w:marTop w:val="0"/>
      <w:marBottom w:val="0"/>
      <w:divBdr>
        <w:top w:val="none" w:sz="0" w:space="0" w:color="auto"/>
        <w:left w:val="none" w:sz="0" w:space="0" w:color="auto"/>
        <w:bottom w:val="none" w:sz="0" w:space="0" w:color="auto"/>
        <w:right w:val="none" w:sz="0" w:space="0" w:color="auto"/>
      </w:divBdr>
    </w:div>
    <w:div w:id="1451127040">
      <w:bodyDiv w:val="1"/>
      <w:marLeft w:val="0"/>
      <w:marRight w:val="0"/>
      <w:marTop w:val="0"/>
      <w:marBottom w:val="0"/>
      <w:divBdr>
        <w:top w:val="none" w:sz="0" w:space="0" w:color="auto"/>
        <w:left w:val="none" w:sz="0" w:space="0" w:color="auto"/>
        <w:bottom w:val="none" w:sz="0" w:space="0" w:color="auto"/>
        <w:right w:val="none" w:sz="0" w:space="0" w:color="auto"/>
      </w:divBdr>
    </w:div>
    <w:div w:id="18934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D2BE-C68F-41CF-9139-2874AC78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1911</Words>
  <Characters>11088</Characters>
  <Application>Microsoft Office Word</Application>
  <DocSecurity>0</DocSecurity>
  <Lines>92</Lines>
  <Paragraphs>25</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349</cp:revision>
  <cp:lastPrinted>2016-03-11T07:26:00Z</cp:lastPrinted>
  <dcterms:created xsi:type="dcterms:W3CDTF">2016-02-25T11:08:00Z</dcterms:created>
  <dcterms:modified xsi:type="dcterms:W3CDTF">2020-07-01T13:39:00Z</dcterms:modified>
</cp:coreProperties>
</file>