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7B" w:rsidRDefault="0038457B" w:rsidP="0038457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Toc536610958"/>
      <w:bookmarkStart w:id="1" w:name="_GoBack"/>
      <w:r>
        <w:rPr>
          <w:rFonts w:ascii="Arial" w:hAnsi="Arial" w:cs="Arial"/>
          <w:b/>
          <w:sz w:val="22"/>
          <w:szCs w:val="22"/>
          <w:u w:val="single"/>
        </w:rPr>
        <w:t>12.3.</w:t>
      </w:r>
      <w:r>
        <w:rPr>
          <w:rFonts w:ascii="Arial" w:hAnsi="Arial" w:cs="Arial"/>
          <w:b/>
          <w:sz w:val="22"/>
          <w:szCs w:val="22"/>
          <w:u w:val="single"/>
        </w:rPr>
        <w:tab/>
        <w:t>Direcția Generală Achiziții Publice</w:t>
      </w:r>
      <w:bookmarkEnd w:id="0"/>
    </w:p>
    <w:bookmarkEnd w:id="1"/>
    <w:p w:rsidR="009E6317" w:rsidRPr="00C15BCC" w:rsidRDefault="009E6317" w:rsidP="009E6317">
      <w:pPr>
        <w:tabs>
          <w:tab w:val="left" w:pos="7035"/>
        </w:tabs>
        <w:spacing w:line="360" w:lineRule="auto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:rsidR="009E6317" w:rsidRPr="00C15BCC" w:rsidRDefault="009E6317" w:rsidP="009E631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Activitatea Direc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iei Generale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 Publice în anul 2019 a constat în derularea de proceduri de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ie publică pentru acoperirea întregii nevoi a municipalită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ii, în func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ie necesită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ile solicitate de direc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iile ini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 xml:space="preserve">iatoare, aprobate de Autoritatea Contractantă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transmise Direc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iei Generale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 Publice.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  <w:b/>
        </w:rPr>
        <w:t>DIREC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IA PLANIFICARE ACHIZI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 xml:space="preserve">II </w:t>
      </w:r>
      <w:r w:rsidRPr="00C15BCC">
        <w:rPr>
          <w:rFonts w:ascii="Arial" w:hAnsi="Arial" w:cs="Arial"/>
        </w:rPr>
        <w:t>a asigurat activitatea de planificare 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publice, desfă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urând următoarele activită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 specifice: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asigurat urmărirea executării Programului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iilor publice pentru anul 2019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Strategiei anuale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pentru anul 2019, documente care au fost întocmite în </w:t>
      </w:r>
      <w:r w:rsidR="00C15BCC" w:rsidRPr="00C15BCC">
        <w:rPr>
          <w:rFonts w:ascii="Arial" w:hAnsi="Arial" w:cs="Arial"/>
        </w:rPr>
        <w:t>trimestrul</w:t>
      </w:r>
      <w:r w:rsidRPr="00C15BCC">
        <w:rPr>
          <w:rFonts w:ascii="Arial" w:hAnsi="Arial" w:cs="Arial"/>
        </w:rPr>
        <w:t xml:space="preserve"> IV al anului 2018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aprobate la dat de 10.12.2018. 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în urma aprobării bugetului propriu al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ti pe anul 2019, prin HCGMB nr.194/23.04.2019, cu modificările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completările ulterioare, s-a realizat actualizarea Strategiei anuale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pentru anul 2019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Programului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 pentru anul 2019, în func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de fondurile aprobate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solicitările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de specialitate din cadrul Primăriei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- pe </w:t>
      </w:r>
      <w:r w:rsidR="00C15BCC" w:rsidRPr="00C15BCC">
        <w:rPr>
          <w:rFonts w:ascii="Arial" w:hAnsi="Arial" w:cs="Arial"/>
        </w:rPr>
        <w:t>parcursul</w:t>
      </w:r>
      <w:r w:rsidRPr="00C15BCC">
        <w:rPr>
          <w:rFonts w:ascii="Arial" w:hAnsi="Arial" w:cs="Arial"/>
        </w:rPr>
        <w:t xml:space="preserve"> anului 2019, la solicitările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de specialitate, au fost operate un număr de 115 modificări/completări în cadrul Programului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 2019, asigurându-se respectarea prevederilor legale cu privire la modalitatea optimă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ie, la stabilirea căreia se 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ine cont de o serie de factori respectiv: raportarea la valoarea estimată 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considerate similare, complexitatea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iei, îndeplinirea condi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specifice de aplicarea a anumitor proceduri specifice, încadrarea corectă a obiectului contractului în codul CPV;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asigurat publicarea în sistemul electronic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(SEAP) extrase din programul anual al </w:t>
      </w:r>
      <w:r w:rsidR="00C15BCC" w:rsidRPr="00C15BCC">
        <w:rPr>
          <w:rFonts w:ascii="Arial" w:hAnsi="Arial" w:cs="Arial"/>
        </w:rPr>
        <w:t>achizi</w:t>
      </w:r>
      <w:r w:rsidR="00C15BCC">
        <w:rPr>
          <w:rFonts w:ascii="Arial" w:hAnsi="Arial" w:cs="Arial"/>
        </w:rPr>
        <w:t>ț</w:t>
      </w:r>
      <w:r w:rsidR="00C15BCC" w:rsidRPr="00C15BCC">
        <w:rPr>
          <w:rFonts w:ascii="Arial" w:hAnsi="Arial" w:cs="Arial"/>
        </w:rPr>
        <w:t>iilor</w:t>
      </w:r>
      <w:r w:rsidRPr="00C15BCC">
        <w:rPr>
          <w:rFonts w:ascii="Arial" w:hAnsi="Arial" w:cs="Arial"/>
        </w:rPr>
        <w:t xml:space="preserve"> publice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modificări/completări operate în cadrul acestuia, în conformitate cu prevederile legale;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efectuat demersurile necesare în vederea elaborării Strategiei anuale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pentru anul 2020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Programului 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iilor publice pentru anul 2020, în ultimul trimestru al anului 2019; 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elaborat Strategia anuală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pentru anul 2020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Programului 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 pentru anul 2020, pe baza necesită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ilor transmise de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iile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 din cadrul autorită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contractante Primăria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în ultimul trimestru al anului 2019;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asigurat transmiterea informa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privind elaborarea/actualizarea/modificarea/completarea Strategiei anuale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Programului 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 către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iile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lastRenderedPageBreak/>
        <w:t>- a asigurat sprijin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 prin consilierea/îndrumarea metodologică  cu privire la etapa de planificare 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participat la elaborarea documenta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iei de atribuire, prin întocmirea strategiilor de contractare pentru procedurile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care au fost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iate în cursul anului 2019;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</w:rPr>
        <w:t>- a participat în comisiile de evaluare constituite în vederea evaluării a ofertelor depuse în cadrul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  <w:b/>
        </w:rPr>
        <w:t>DIREC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 xml:space="preserve">IA PROCEDURI </w:t>
      </w:r>
      <w:r w:rsidRPr="00C15BCC">
        <w:rPr>
          <w:rFonts w:ascii="Arial" w:hAnsi="Arial" w:cs="Arial"/>
        </w:rPr>
        <w:t xml:space="preserve">a asigurat organizarea, derularea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finalizarea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publice solicitate de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iile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 din cadrul Primăriei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cu respectarea principiilor care stau la baza atribuirii contractelor/acordurilor-cadru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publică, în conformitate cu </w:t>
      </w:r>
      <w:r w:rsidR="00C15BCC" w:rsidRPr="00C15BCC">
        <w:rPr>
          <w:rFonts w:ascii="Arial" w:hAnsi="Arial" w:cs="Arial"/>
        </w:rPr>
        <w:t>prevederile</w:t>
      </w:r>
      <w:r w:rsidRPr="00C15BCC">
        <w:rPr>
          <w:rFonts w:ascii="Arial" w:hAnsi="Arial" w:cs="Arial"/>
        </w:rPr>
        <w:t xml:space="preserve"> legale în materia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participat la elaborarea documenta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iei de atribuire (fi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a de date 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iei, proiectul de contract/acord-cadru/contract subsecvent, modele de formulare utilizate în vederea întocmirii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prezentării ofertelor, DUAE –Documentul Unic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European),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documentelor suport aferente pe baza datelor/documentelor/informa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transmise de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iile de specialitate;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-  a organizat, derulat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finalizat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iile directe de produse, servicii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i/sau lucrări;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realizat la solicitarea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iatoare, procese de consultare a pie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ei, ca parte a procesului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asigurat sprijin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iatoare prin consilierea/îndrumarea metodologică  cu privire la procesul de realizare a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color w:val="FF0000"/>
        </w:rPr>
      </w:pPr>
      <w:r w:rsidRPr="00C15BCC">
        <w:rPr>
          <w:rFonts w:ascii="Arial" w:hAnsi="Arial" w:cs="Arial"/>
        </w:rPr>
        <w:t xml:space="preserve">- a participat în comisiile de evaluare în calitate de </w:t>
      </w:r>
      <w:r w:rsidR="00C15BCC" w:rsidRPr="00C15BCC">
        <w:rPr>
          <w:rFonts w:ascii="Arial" w:hAnsi="Arial" w:cs="Arial"/>
        </w:rPr>
        <w:t>președinte</w:t>
      </w:r>
      <w:r w:rsidRPr="00C15BCC">
        <w:rPr>
          <w:rFonts w:ascii="Arial" w:hAnsi="Arial" w:cs="Arial"/>
        </w:rPr>
        <w:t xml:space="preserve">/membru/membru de rezerva/secretar </w:t>
      </w:r>
      <w:r w:rsidR="00C15BCC">
        <w:rPr>
          <w:rFonts w:ascii="Arial" w:hAnsi="Arial" w:cs="Arial"/>
        </w:rPr>
        <w:t>ș</w:t>
      </w:r>
      <w:r w:rsidR="00C15BCC" w:rsidRPr="00C15BCC">
        <w:rPr>
          <w:rFonts w:ascii="Arial" w:hAnsi="Arial" w:cs="Arial"/>
        </w:rPr>
        <w:t>i</w:t>
      </w:r>
      <w:r w:rsidRPr="00C15BCC">
        <w:rPr>
          <w:rFonts w:ascii="Arial" w:hAnsi="Arial" w:cs="Arial"/>
        </w:rPr>
        <w:t xml:space="preserve"> persoană responsabilă cu derularea procedurilor. 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a realizat raportarea periodică (săptămânal, lunar, trimestrial, semestrial, anual) privind stadiul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publică;</w:t>
      </w:r>
    </w:p>
    <w:p w:rsidR="009E6317" w:rsidRPr="00C15BCC" w:rsidRDefault="009E6317" w:rsidP="009E63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b/>
          <w:sz w:val="22"/>
          <w:szCs w:val="22"/>
        </w:rPr>
        <w:t xml:space="preserve">        </w:t>
      </w:r>
      <w:r w:rsidR="00465512">
        <w:rPr>
          <w:rFonts w:ascii="Arial" w:hAnsi="Arial" w:cs="Arial"/>
          <w:b/>
          <w:sz w:val="22"/>
          <w:szCs w:val="22"/>
        </w:rPr>
        <w:tab/>
      </w:r>
      <w:r w:rsidRPr="00C15BCC">
        <w:rPr>
          <w:rFonts w:ascii="Arial" w:hAnsi="Arial" w:cs="Arial"/>
          <w:b/>
          <w:sz w:val="22"/>
          <w:szCs w:val="22"/>
        </w:rPr>
        <w:t xml:space="preserve">SERVICIUL MONITORIZARE DERULARE CONTRACTE </w:t>
      </w:r>
      <w:r w:rsidRPr="00C15BCC">
        <w:rPr>
          <w:rFonts w:ascii="Arial" w:hAnsi="Arial" w:cs="Arial"/>
          <w:sz w:val="22"/>
          <w:szCs w:val="22"/>
        </w:rPr>
        <w:t xml:space="preserve">a asigurat monitorizarea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 xml:space="preserve">i raportarea încheierii/atribuirii contractelor de </w:t>
      </w:r>
      <w:r w:rsidR="00C15BCC" w:rsidRPr="00C15BCC">
        <w:rPr>
          <w:rFonts w:ascii="Arial" w:hAnsi="Arial" w:cs="Arial"/>
          <w:sz w:val="22"/>
          <w:szCs w:val="22"/>
        </w:rPr>
        <w:t>achizi</w:t>
      </w:r>
      <w:r w:rsidR="00C15BCC">
        <w:rPr>
          <w:rFonts w:ascii="Arial" w:hAnsi="Arial" w:cs="Arial"/>
          <w:sz w:val="22"/>
          <w:szCs w:val="22"/>
        </w:rPr>
        <w:t>ț</w:t>
      </w:r>
      <w:r w:rsidR="00C15BCC" w:rsidRPr="00C15BCC">
        <w:rPr>
          <w:rFonts w:ascii="Arial" w:hAnsi="Arial" w:cs="Arial"/>
          <w:sz w:val="22"/>
          <w:szCs w:val="22"/>
        </w:rPr>
        <w:t>ii</w:t>
      </w:r>
      <w:r w:rsidRPr="00C15BCC">
        <w:rPr>
          <w:rFonts w:ascii="Arial" w:hAnsi="Arial" w:cs="Arial"/>
          <w:sz w:val="22"/>
          <w:szCs w:val="22"/>
        </w:rPr>
        <w:t xml:space="preserve"> publice/acord - cadru de lucrări, servicii, produse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lucrări, încheiate la nivelul Primăriei Municipiului Bucure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ti;</w:t>
      </w:r>
    </w:p>
    <w:p w:rsidR="009E6317" w:rsidRPr="00C15BCC" w:rsidRDefault="009E6317" w:rsidP="009E63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 xml:space="preserve">     - a asigurat gestionarea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actualizarea bazei de date cu privire la toate contractele monitorizate în cadrul direc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 xml:space="preserve">iei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la nivelul Primăriei Municipiului Bucure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ti</w:t>
      </w:r>
    </w:p>
    <w:p w:rsidR="009E6317" w:rsidRPr="00C15BCC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Generală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a întocmit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transmis la Cabinetul Primarului General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al Administratorului Public al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raportări  periodice  (săptămânal, lunar, trimestrial, semestrial, anual) privind stadiul de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a Programului 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iilor publice pentru anul 2019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stadiul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aflate în derulare.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Aceste raportări au vizat în principal: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săptămânal:  stadiile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aflate în derulare;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lastRenderedPageBreak/>
        <w:t>- lunar: interpretarea etapelor de 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a Programului 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iilor publice pentru anul 2019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Strategiei anuale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publice 2019;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trimestrial/semestrial: au fost propuse măsuri de eficientizare a proceselor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publică, au fost eviden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iate procedurile finalizate. </w:t>
      </w:r>
    </w:p>
    <w:p w:rsidR="009E6317" w:rsidRPr="00C15BCC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La finalul anului 2019 fost elaborat documentul ”Informare privind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Programului anual al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 în anul 2019”, care a cuprins sinteza activită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ilor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iei pe parcursul anului, oferind o imagine globală asupra </w:t>
      </w:r>
      <w:r w:rsidR="00C15BCC" w:rsidRPr="00C15BCC">
        <w:rPr>
          <w:rFonts w:ascii="Arial" w:hAnsi="Arial" w:cs="Arial"/>
        </w:rPr>
        <w:t>întregii</w:t>
      </w:r>
      <w:r w:rsidRPr="00C15BCC">
        <w:rPr>
          <w:rFonts w:ascii="Arial" w:hAnsi="Arial" w:cs="Arial"/>
        </w:rPr>
        <w:t xml:space="preserve"> activită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 privind desfă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urarea procesului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publice la nivelul Primăriei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ti.</w:t>
      </w:r>
    </w:p>
    <w:p w:rsidR="009E6317" w:rsidRPr="00C15BCC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 w:rsidRPr="00C15BCC">
        <w:rPr>
          <w:rFonts w:ascii="Arial" w:hAnsi="Arial" w:cs="Arial"/>
        </w:rPr>
        <w:t>În luna Noiembrie a anului 2019, activitatea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iei Generale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 a fost evaluată de </w:t>
      </w:r>
      <w:r w:rsidRPr="00C15BCC">
        <w:rPr>
          <w:rFonts w:ascii="Arial" w:hAnsi="Arial" w:cs="Arial"/>
          <w:b/>
        </w:rPr>
        <w:t>Banca Mondială</w:t>
      </w:r>
      <w:r w:rsidRPr="00C15BCC">
        <w:rPr>
          <w:rFonts w:ascii="Arial" w:hAnsi="Arial" w:cs="Arial"/>
        </w:rPr>
        <w:t xml:space="preserve">, în cadrul </w:t>
      </w:r>
      <w:r w:rsidRPr="00C15BCC">
        <w:rPr>
          <w:rFonts w:ascii="Arial" w:hAnsi="Arial" w:cs="Arial"/>
          <w:b/>
          <w:i/>
        </w:rPr>
        <w:t>Proiectului SIPOCA 625 – ”Sprijin în implementarea Strategiei Na</w:t>
      </w:r>
      <w:r w:rsidR="00C15BCC">
        <w:rPr>
          <w:rFonts w:ascii="Arial" w:hAnsi="Arial" w:cs="Arial"/>
          <w:b/>
          <w:i/>
        </w:rPr>
        <w:t>ț</w:t>
      </w:r>
      <w:r w:rsidRPr="00C15BCC">
        <w:rPr>
          <w:rFonts w:ascii="Arial" w:hAnsi="Arial" w:cs="Arial"/>
          <w:b/>
          <w:i/>
        </w:rPr>
        <w:t>ionale în domeniul Achizi</w:t>
      </w:r>
      <w:r w:rsidR="00C15BCC">
        <w:rPr>
          <w:rFonts w:ascii="Arial" w:hAnsi="Arial" w:cs="Arial"/>
          <w:b/>
          <w:i/>
        </w:rPr>
        <w:t>ț</w:t>
      </w:r>
      <w:r w:rsidRPr="00C15BCC">
        <w:rPr>
          <w:rFonts w:ascii="Arial" w:hAnsi="Arial" w:cs="Arial"/>
          <w:b/>
          <w:i/>
        </w:rPr>
        <w:t>iilor Publice(SNAP) prin consolidarea capacită</w:t>
      </w:r>
      <w:r w:rsidR="00C15BCC">
        <w:rPr>
          <w:rFonts w:ascii="Arial" w:hAnsi="Arial" w:cs="Arial"/>
          <w:b/>
          <w:i/>
        </w:rPr>
        <w:t>ț</w:t>
      </w:r>
      <w:r w:rsidRPr="00C15BCC">
        <w:rPr>
          <w:rFonts w:ascii="Arial" w:hAnsi="Arial" w:cs="Arial"/>
          <w:b/>
          <w:i/>
        </w:rPr>
        <w:t xml:space="preserve">ii administrative a ANAP </w:t>
      </w:r>
      <w:r w:rsidR="00C15BCC">
        <w:rPr>
          <w:rFonts w:ascii="Arial" w:hAnsi="Arial" w:cs="Arial"/>
          <w:b/>
          <w:i/>
        </w:rPr>
        <w:t>ș</w:t>
      </w:r>
      <w:r w:rsidRPr="00C15BCC">
        <w:rPr>
          <w:rFonts w:ascii="Arial" w:hAnsi="Arial" w:cs="Arial"/>
          <w:b/>
          <w:i/>
        </w:rPr>
        <w:t>i autorită</w:t>
      </w:r>
      <w:r w:rsidR="00C15BCC">
        <w:rPr>
          <w:rFonts w:ascii="Arial" w:hAnsi="Arial" w:cs="Arial"/>
          <w:b/>
          <w:i/>
        </w:rPr>
        <w:t>ț</w:t>
      </w:r>
      <w:r w:rsidRPr="00C15BCC">
        <w:rPr>
          <w:rFonts w:ascii="Arial" w:hAnsi="Arial" w:cs="Arial"/>
          <w:b/>
          <w:i/>
        </w:rPr>
        <w:t>ilor contractante”</w:t>
      </w:r>
      <w:r w:rsidR="00C15BCC">
        <w:rPr>
          <w:rFonts w:ascii="Arial" w:hAnsi="Arial" w:cs="Arial"/>
          <w:b/>
          <w:i/>
        </w:rPr>
        <w:t>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9E6317" w:rsidRPr="00C15BCC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  <w:i/>
        </w:rPr>
      </w:pPr>
      <w:r w:rsidRPr="00C15BCC">
        <w:rPr>
          <w:rFonts w:ascii="Arial" w:hAnsi="Arial" w:cs="Arial"/>
          <w:i/>
        </w:rPr>
        <w:t>În continuare este prezentată execu</w:t>
      </w:r>
      <w:r w:rsidR="00C15BCC" w:rsidRPr="00C15BCC">
        <w:rPr>
          <w:rFonts w:ascii="Arial" w:hAnsi="Arial" w:cs="Arial"/>
          <w:i/>
        </w:rPr>
        <w:t>ț</w:t>
      </w:r>
      <w:r w:rsidRPr="00C15BCC">
        <w:rPr>
          <w:rFonts w:ascii="Arial" w:hAnsi="Arial" w:cs="Arial"/>
          <w:i/>
        </w:rPr>
        <w:t>ia proceselor de achizi</w:t>
      </w:r>
      <w:r w:rsidR="00C15BCC" w:rsidRPr="00C15BCC">
        <w:rPr>
          <w:rFonts w:ascii="Arial" w:hAnsi="Arial" w:cs="Arial"/>
          <w:i/>
        </w:rPr>
        <w:t>ț</w:t>
      </w:r>
      <w:r w:rsidRPr="00C15BCC">
        <w:rPr>
          <w:rFonts w:ascii="Arial" w:hAnsi="Arial" w:cs="Arial"/>
          <w:i/>
        </w:rPr>
        <w:t>ie publică cuprinse în Strategia anuală de achizi</w:t>
      </w:r>
      <w:r w:rsidR="00C15BCC" w:rsidRPr="00C15BCC">
        <w:rPr>
          <w:rFonts w:ascii="Arial" w:hAnsi="Arial" w:cs="Arial"/>
          <w:i/>
        </w:rPr>
        <w:t>ț</w:t>
      </w:r>
      <w:r w:rsidRPr="00C15BCC">
        <w:rPr>
          <w:rFonts w:ascii="Arial" w:hAnsi="Arial" w:cs="Arial"/>
          <w:i/>
        </w:rPr>
        <w:t xml:space="preserve">ii publice 2019 </w:t>
      </w:r>
      <w:r w:rsidR="00C15BCC" w:rsidRPr="00C15BCC">
        <w:rPr>
          <w:rFonts w:ascii="Arial" w:hAnsi="Arial" w:cs="Arial"/>
          <w:i/>
        </w:rPr>
        <w:t>ș</w:t>
      </w:r>
      <w:r w:rsidRPr="00C15BCC">
        <w:rPr>
          <w:rFonts w:ascii="Arial" w:hAnsi="Arial" w:cs="Arial"/>
          <w:i/>
        </w:rPr>
        <w:t>i Programul anual al achizi</w:t>
      </w:r>
      <w:r w:rsidR="00C15BCC" w:rsidRPr="00C15BCC">
        <w:rPr>
          <w:rFonts w:ascii="Arial" w:hAnsi="Arial" w:cs="Arial"/>
          <w:i/>
        </w:rPr>
        <w:t>ț</w:t>
      </w:r>
      <w:r w:rsidRPr="00C15BCC">
        <w:rPr>
          <w:rFonts w:ascii="Arial" w:hAnsi="Arial" w:cs="Arial"/>
          <w:i/>
        </w:rPr>
        <w:t>iilor publice în anul 2019.</w:t>
      </w:r>
    </w:p>
    <w:p w:rsidR="009E6317" w:rsidRPr="00650813" w:rsidRDefault="009E6317" w:rsidP="009E6317">
      <w:pPr>
        <w:pStyle w:val="NoSpacing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650813">
        <w:rPr>
          <w:rFonts w:ascii="Arial" w:hAnsi="Arial" w:cs="Arial"/>
          <w:b/>
          <w:i/>
        </w:rPr>
        <w:t>Proceduri de achizi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>ie publică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La solicitarea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iilor/compartimentelor de specialitate ale Primăriei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în anul 2019,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Generală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Publice a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iat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derulat un număr de 46 proceduri de atribuire pentru contracte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publice. </w:t>
      </w:r>
    </w:p>
    <w:p w:rsidR="009E6317" w:rsidRPr="00C15BCC" w:rsidRDefault="009E6317" w:rsidP="009E6317">
      <w:pPr>
        <w:pStyle w:val="NoSpacing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  <w:b/>
        </w:rPr>
        <w:t>Proceduri de achizi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ie publică ini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iate prin anun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 xml:space="preserve"> de participare în anul 2019</w:t>
      </w:r>
    </w:p>
    <w:tbl>
      <w:tblPr>
        <w:tblW w:w="5000" w:type="pct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/>
      </w:tblPr>
      <w:tblGrid>
        <w:gridCol w:w="1093"/>
        <w:gridCol w:w="1435"/>
        <w:gridCol w:w="2371"/>
        <w:gridCol w:w="1660"/>
        <w:gridCol w:w="1445"/>
        <w:gridCol w:w="1426"/>
      </w:tblGrid>
      <w:tr w:rsidR="009E6317" w:rsidRPr="00C15BCC" w:rsidTr="00C15BCC">
        <w:trPr>
          <w:jc w:val="center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Tip contract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Număr proceduri ini</w:t>
            </w:r>
            <w:r w:rsidR="00C15BCC">
              <w:rPr>
                <w:rFonts w:ascii="Arial" w:hAnsi="Arial" w:cs="Arial"/>
                <w:bCs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>iate în anul 2019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Număr proceduri finalizate prin atribuirea unui contract/acord-cadru în anul 2019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 xml:space="preserve">Pondere proceduri finalizate / proceduri </w:t>
            </w:r>
            <w:r w:rsidR="00C15BCC" w:rsidRPr="00C15BCC">
              <w:rPr>
                <w:rFonts w:ascii="Arial" w:hAnsi="Arial" w:cs="Arial"/>
                <w:bCs/>
                <w:sz w:val="22"/>
                <w:szCs w:val="22"/>
              </w:rPr>
              <w:t>inițiate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 xml:space="preserve"> în anul 2019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Număr proceduri anulate în anul 2019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Număr proceduri în curs de atribuire</w:t>
            </w:r>
          </w:p>
        </w:tc>
      </w:tr>
      <w:tr w:rsidR="009E6317" w:rsidRPr="00C15BCC" w:rsidTr="00C15BCC">
        <w:trPr>
          <w:trHeight w:val="526"/>
          <w:jc w:val="center"/>
        </w:trPr>
        <w:tc>
          <w:tcPr>
            <w:tcW w:w="580" w:type="pct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Produse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0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53,85%</w:t>
            </w:r>
          </w:p>
        </w:tc>
        <w:tc>
          <w:tcPr>
            <w:tcW w:w="766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nil"/>
              <w:bottom w:val="nil"/>
              <w:right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E6317" w:rsidRPr="00C15BCC" w:rsidTr="00C15BCC">
        <w:trPr>
          <w:trHeight w:val="526"/>
          <w:jc w:val="center"/>
        </w:trPr>
        <w:tc>
          <w:tcPr>
            <w:tcW w:w="580" w:type="pct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Servicii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0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71,43%</w:t>
            </w:r>
          </w:p>
        </w:tc>
        <w:tc>
          <w:tcPr>
            <w:tcW w:w="766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nil"/>
              <w:bottom w:val="nil"/>
              <w:right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E6317" w:rsidRPr="00C15BCC" w:rsidTr="00C15BCC">
        <w:trPr>
          <w:trHeight w:val="526"/>
          <w:jc w:val="center"/>
        </w:trPr>
        <w:tc>
          <w:tcPr>
            <w:tcW w:w="580" w:type="pct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Lucrări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8,33%</w:t>
            </w:r>
          </w:p>
        </w:tc>
        <w:tc>
          <w:tcPr>
            <w:tcW w:w="766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6" w:type="pct"/>
            <w:tcBorders>
              <w:top w:val="nil"/>
              <w:bottom w:val="nil"/>
              <w:right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E6317" w:rsidRPr="00C15BCC" w:rsidTr="00C15BCC">
        <w:trPr>
          <w:trHeight w:val="526"/>
          <w:jc w:val="center"/>
        </w:trPr>
        <w:tc>
          <w:tcPr>
            <w:tcW w:w="580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257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0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  <w:tc>
          <w:tcPr>
            <w:tcW w:w="766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9E6317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Valorile estimate pentru procedurile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iate în anul 2019,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valoarea contractată, este eviden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iată în tabelele de mai jos: </w:t>
      </w:r>
    </w:p>
    <w:tbl>
      <w:tblPr>
        <w:tblW w:w="0" w:type="auto"/>
        <w:tblInd w:w="1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/>
      </w:tblPr>
      <w:tblGrid>
        <w:gridCol w:w="3605"/>
        <w:gridCol w:w="1929"/>
        <w:gridCol w:w="1787"/>
        <w:gridCol w:w="1746"/>
      </w:tblGrid>
      <w:tr w:rsidR="009E6317" w:rsidRPr="00C15BCC" w:rsidTr="00C15BCC">
        <w:trPr>
          <w:trHeight w:val="523"/>
        </w:trPr>
        <w:tc>
          <w:tcPr>
            <w:tcW w:w="9067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/>
                <w:bCs/>
                <w:sz w:val="22"/>
                <w:szCs w:val="22"/>
              </w:rPr>
              <w:t>Valoarea estimată pentru procedurile de achizi</w:t>
            </w:r>
            <w:r w:rsidR="00C15BCC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b/>
                <w:bCs/>
                <w:sz w:val="22"/>
                <w:szCs w:val="22"/>
              </w:rPr>
              <w:t>ie publică ini</w:t>
            </w:r>
            <w:r w:rsidR="00C15BCC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b/>
                <w:bCs/>
                <w:sz w:val="22"/>
                <w:szCs w:val="22"/>
              </w:rPr>
              <w:t>iate din PAAP 2019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 xml:space="preserve"> (lei, fără TVA)</w:t>
            </w:r>
          </w:p>
        </w:tc>
      </w:tr>
      <w:tr w:rsidR="009E6317" w:rsidRPr="00C15BCC" w:rsidTr="00C15BCC">
        <w:trPr>
          <w:trHeight w:val="570"/>
        </w:trPr>
        <w:tc>
          <w:tcPr>
            <w:tcW w:w="3605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929" w:type="dxa"/>
            <w:shd w:val="clear" w:color="auto" w:fill="DEEAF6"/>
            <w:vAlign w:val="center"/>
          </w:tcPr>
          <w:p w:rsidR="009E6317" w:rsidRPr="00C15BCC" w:rsidRDefault="009E6317" w:rsidP="00C15BCC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Produse</w:t>
            </w:r>
          </w:p>
        </w:tc>
        <w:tc>
          <w:tcPr>
            <w:tcW w:w="1787" w:type="dxa"/>
            <w:shd w:val="clear" w:color="auto" w:fill="DEEAF6"/>
            <w:vAlign w:val="center"/>
          </w:tcPr>
          <w:p w:rsidR="009E6317" w:rsidRPr="00C15BCC" w:rsidRDefault="009E6317" w:rsidP="00C15BCC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Servicii</w:t>
            </w:r>
          </w:p>
        </w:tc>
        <w:tc>
          <w:tcPr>
            <w:tcW w:w="1746" w:type="dxa"/>
            <w:shd w:val="clear" w:color="auto" w:fill="DEEAF6"/>
            <w:vAlign w:val="center"/>
          </w:tcPr>
          <w:p w:rsidR="009E6317" w:rsidRPr="00C15BCC" w:rsidRDefault="009E6317" w:rsidP="00C15BCC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Lucrări</w:t>
            </w:r>
          </w:p>
        </w:tc>
      </w:tr>
      <w:tr w:rsidR="009E6317" w:rsidRPr="00C15BCC" w:rsidTr="00C15BCC">
        <w:trPr>
          <w:trHeight w:val="570"/>
        </w:trPr>
        <w:tc>
          <w:tcPr>
            <w:tcW w:w="3605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2.195.833.834,40</w:t>
            </w:r>
          </w:p>
        </w:tc>
        <w:tc>
          <w:tcPr>
            <w:tcW w:w="1929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1.605.543.829,04</w:t>
            </w:r>
          </w:p>
        </w:tc>
        <w:tc>
          <w:tcPr>
            <w:tcW w:w="1787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28.736.190,84</w:t>
            </w:r>
          </w:p>
        </w:tc>
        <w:tc>
          <w:tcPr>
            <w:tcW w:w="1746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561.553.814,52</w:t>
            </w:r>
          </w:p>
        </w:tc>
      </w:tr>
    </w:tbl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Din totalul de 46 proceduri demarate în cursul anului 2019, s-au finalizat un număr de 23 proceduri, având o valoare totală estimată de 2.195.833.834,40 lei, fără TVA, valoarea totală a contractelor atribuite prin aceste proceduri este de 352.284.821,70 lei, fără TVA,reprezentând: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 7 proceduri pentru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de produse (valoare contractată 232.102.166,02 lei, fără TVA);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- 15 proceduri pentru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de servicii (valoare contractată 21.330.009,02 lei fără TVA);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 1 procedură pentru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de lucrări (valoare estimată 98.852.646,66 lei, fără TVA);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 5 proceduri anulate;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-  18 proceduri în curs de derulare, urmând a se finaliza în anul 2020.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  <w:b/>
        </w:rPr>
        <w:t xml:space="preserve">1.2Tipul </w:t>
      </w:r>
      <w:r w:rsidR="00C15BCC">
        <w:rPr>
          <w:rFonts w:ascii="Arial" w:hAnsi="Arial" w:cs="Arial"/>
          <w:b/>
        </w:rPr>
        <w:t>ș</w:t>
      </w:r>
      <w:r w:rsidRPr="00C15BCC">
        <w:rPr>
          <w:rFonts w:ascii="Arial" w:hAnsi="Arial" w:cs="Arial"/>
          <w:b/>
        </w:rPr>
        <w:t>i ponderea procedurilor de achizi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ie publică finalizate</w:t>
      </w:r>
    </w:p>
    <w:p w:rsidR="009E6317" w:rsidRPr="00C15BCC" w:rsidRDefault="009E6317" w:rsidP="00C15BCC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În vederea atribuirii contractelor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prezentate mai sus, au fost aplicate procedurile reglementate de legisla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în domeniul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publice, respectiv licita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deschisă, procedură simplificată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negociere fără publicare a unui anun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 de atribuire.</w:t>
      </w:r>
    </w:p>
    <w:tbl>
      <w:tblPr>
        <w:tblW w:w="0" w:type="auto"/>
        <w:tblInd w:w="1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/>
      </w:tblPr>
      <w:tblGrid>
        <w:gridCol w:w="2863"/>
        <w:gridCol w:w="4118"/>
        <w:gridCol w:w="2086"/>
      </w:tblGrid>
      <w:tr w:rsidR="009E6317" w:rsidRPr="00C15BCC" w:rsidTr="00C15BCC">
        <w:trPr>
          <w:trHeight w:val="442"/>
        </w:trPr>
        <w:tc>
          <w:tcPr>
            <w:tcW w:w="28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Tip procedură</w:t>
            </w:r>
          </w:p>
        </w:tc>
        <w:tc>
          <w:tcPr>
            <w:tcW w:w="4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Număr proceduri</w:t>
            </w:r>
          </w:p>
        </w:tc>
        <w:tc>
          <w:tcPr>
            <w:tcW w:w="2086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Pondere</w:t>
            </w:r>
          </w:p>
        </w:tc>
      </w:tr>
      <w:tr w:rsidR="009E6317" w:rsidRPr="00C15BCC" w:rsidTr="00C15BCC">
        <w:trPr>
          <w:trHeight w:val="556"/>
        </w:trPr>
        <w:tc>
          <w:tcPr>
            <w:tcW w:w="2863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Licita</w:t>
            </w:r>
            <w:r w:rsidR="00C15BCC">
              <w:rPr>
                <w:rFonts w:ascii="Arial" w:hAnsi="Arial" w:cs="Arial"/>
                <w:bCs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>ie deschisă</w:t>
            </w:r>
          </w:p>
        </w:tc>
        <w:tc>
          <w:tcPr>
            <w:tcW w:w="4118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86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26,09%</w:t>
            </w:r>
          </w:p>
        </w:tc>
      </w:tr>
      <w:tr w:rsidR="009E6317" w:rsidRPr="00C15BCC" w:rsidTr="00C15BCC">
        <w:trPr>
          <w:trHeight w:val="505"/>
        </w:trPr>
        <w:tc>
          <w:tcPr>
            <w:tcW w:w="2863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Procedură simplificată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60,87%</w:t>
            </w:r>
          </w:p>
        </w:tc>
      </w:tr>
      <w:tr w:rsidR="009E6317" w:rsidRPr="00C15BCC" w:rsidTr="00C15BCC">
        <w:trPr>
          <w:trHeight w:val="681"/>
        </w:trPr>
        <w:tc>
          <w:tcPr>
            <w:tcW w:w="2863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Negociere fără publicare a unui anun</w:t>
            </w:r>
            <w:r w:rsidR="00C15BCC">
              <w:rPr>
                <w:rFonts w:ascii="Arial" w:hAnsi="Arial" w:cs="Arial"/>
                <w:bCs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 xml:space="preserve"> de atribuire</w:t>
            </w:r>
          </w:p>
        </w:tc>
        <w:tc>
          <w:tcPr>
            <w:tcW w:w="4118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6" w:type="dxa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13,07%</w:t>
            </w:r>
          </w:p>
        </w:tc>
      </w:tr>
      <w:tr w:rsidR="009E6317" w:rsidRPr="00C15BCC" w:rsidTr="00C15BCC">
        <w:trPr>
          <w:trHeight w:val="373"/>
        </w:trPr>
        <w:tc>
          <w:tcPr>
            <w:tcW w:w="2863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</w:tbl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Din cele 23 proceduri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finalizate, au fost încheiate contracte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publică/ acorduri-cadru, după cum urmează: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160" w:line="360" w:lineRule="auto"/>
        <w:ind w:left="0" w:firstLine="0"/>
        <w:rPr>
          <w:rFonts w:ascii="Arial" w:hAnsi="Arial" w:cs="Arial"/>
        </w:rPr>
      </w:pPr>
      <w:r w:rsidRPr="00C15BCC">
        <w:rPr>
          <w:rFonts w:ascii="Arial" w:hAnsi="Arial" w:cs="Arial"/>
        </w:rPr>
        <w:t>11 contracte de furnizare în valoare de 232.102.166,02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160" w:line="360" w:lineRule="auto"/>
        <w:ind w:left="0" w:firstLine="0"/>
        <w:rPr>
          <w:rFonts w:ascii="Arial" w:hAnsi="Arial" w:cs="Arial"/>
        </w:rPr>
      </w:pPr>
      <w:r w:rsidRPr="00C15BCC">
        <w:rPr>
          <w:rFonts w:ascii="Arial" w:hAnsi="Arial" w:cs="Arial"/>
        </w:rPr>
        <w:t>15 contracte de servicii în valoare de 2.410.021,22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160" w:line="360" w:lineRule="auto"/>
        <w:ind w:left="0" w:firstLine="0"/>
        <w:rPr>
          <w:rFonts w:ascii="Arial" w:hAnsi="Arial" w:cs="Arial"/>
        </w:rPr>
      </w:pPr>
      <w:r w:rsidRPr="00C15BCC">
        <w:rPr>
          <w:rFonts w:ascii="Arial" w:hAnsi="Arial" w:cs="Arial"/>
        </w:rPr>
        <w:t>1 acord cadru de servicii în valoare de 18.919.987,80 lei, fără TVA în baza căruia s-a încheiat un contract subsecvent în valoare de 3.644.859,90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160" w:line="360" w:lineRule="auto"/>
        <w:ind w:left="0" w:firstLine="0"/>
        <w:rPr>
          <w:rFonts w:ascii="Arial" w:hAnsi="Arial" w:cs="Arial"/>
        </w:rPr>
      </w:pPr>
      <w:r w:rsidRPr="00C15BCC">
        <w:rPr>
          <w:rFonts w:ascii="Arial" w:hAnsi="Arial" w:cs="Arial"/>
        </w:rPr>
        <w:t>1 contract de lucrări în valoare de 98.852.646,66lei, fără TVA.</w:t>
      </w:r>
    </w:p>
    <w:p w:rsidR="009E6317" w:rsidRPr="00C15BCC" w:rsidRDefault="009E6317" w:rsidP="00C15BCC">
      <w:pPr>
        <w:spacing w:after="1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Pe  parcursul anului 2019 au fost elaborate un număr de 85 de proiecte de contracte de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 xml:space="preserve">ie publică 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contracte de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 xml:space="preserve">ie publică,  finale, aferente procedurilor instrumentate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achizi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iilor directe.</w:t>
      </w:r>
    </w:p>
    <w:p w:rsidR="009E6317" w:rsidRPr="00650813" w:rsidRDefault="009E6317" w:rsidP="00650813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50813">
        <w:rPr>
          <w:rFonts w:ascii="Arial" w:hAnsi="Arial" w:cs="Arial"/>
          <w:i/>
          <w:sz w:val="22"/>
          <w:szCs w:val="22"/>
        </w:rPr>
        <w:t>În cadrul procedurilor de atribuire finalizate, se regăsesc următoarele contracte de interes local încheiate: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 a unui număr de 130 de autobuze Hibrid – valoare contractată 195.268.331,70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lastRenderedPageBreak/>
        <w:t xml:space="preserve">Proiectare </w:t>
      </w:r>
      <w:r w:rsidR="007D18C6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având ca obiect CL4 - </w:t>
      </w:r>
      <w:r w:rsidR="007D18C6">
        <w:rPr>
          <w:rFonts w:ascii="Arial" w:hAnsi="Arial" w:cs="Arial"/>
        </w:rPr>
        <w:t>Reabilitarea Casetei ș</w:t>
      </w:r>
      <w:r w:rsidRPr="00C15BCC">
        <w:rPr>
          <w:rFonts w:ascii="Arial" w:hAnsi="Arial" w:cs="Arial"/>
        </w:rPr>
        <w:t xml:space="preserve">i a sistemului sau principal de drenare </w:t>
      </w:r>
      <w:r w:rsidR="007D18C6">
        <w:rPr>
          <w:rFonts w:ascii="Arial" w:hAnsi="Arial" w:cs="Arial"/>
        </w:rPr>
        <w:t>de pe partea stânga a Casetei (î</w:t>
      </w:r>
      <w:r w:rsidRPr="00C15BCC">
        <w:rPr>
          <w:rFonts w:ascii="Arial" w:hAnsi="Arial" w:cs="Arial"/>
        </w:rPr>
        <w:t xml:space="preserve">n sectoarele Ciurel-Unirii-Vitan) - 2 loturi - Lot 1: Reabilitarea Casetei </w:t>
      </w:r>
      <w:r w:rsidR="007D18C6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sistemului sau principal de drenare de pe partea stânga a Casetei in sectorul Ciurel-Unirii -  valoare contractată: 83.502.675,02 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Proiectare si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lucrări având ca obiect CL4 - Reabilitarea Casetei si a sistemului sau principal de drenare de pe partea stânga a Casetei (in sectoarele Ciurel-Unirii-Vitan) - 2 loturi – Lot 2 Reabilitarea Casetei si a sistemului sau principal de drenare de pe partea stânga a Casetei –  sectorul  Unirii-Vitan: valoare contractată: 106.140.549,80 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Reabilitarea  Casetei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a sistemului de drenare de pe partea stângă în sectorul Vitan – Glina – Lot 1: Reabilitarea Casetei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sistemului de drenare de pe partea stângă în sectorul Vitan – NH Pope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– valoare contractată: 74.636.578,09</w:t>
      </w:r>
      <w:r w:rsidR="00465512">
        <w:rPr>
          <w:rFonts w:ascii="Arial" w:hAnsi="Arial" w:cs="Arial"/>
        </w:rPr>
        <w:t xml:space="preserve"> </w:t>
      </w:r>
      <w:r w:rsidRPr="00C15BCC">
        <w:rPr>
          <w:rFonts w:ascii="Arial" w:hAnsi="Arial" w:cs="Arial"/>
        </w:rPr>
        <w:t>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Reabilitarea  Casetei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a sistemului de drenare de pe partea stângă în sectorul Vitan – Glina – Lot 2:  Reabilitarea Casetei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sistemului de drenare de pe partea stângă în sectorul NH Pope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– Glina – valoare contractată: 35.921.551,45 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ionarea de unită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 locative cu destina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de locuin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 pentru personalul angajat în unită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ile sanitare aflate în administrarea CGMB prin ASSMB – au fostachizi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ionate un număr de 177 apartamente, pentru care s-a realizat procedura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în baza Normei interne privind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ionarea sau închirierea de imobile de către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anexă la HCGMB nr. 298/2018, pentru care s-au încheiat  contractele aferente în valoare de 83.874.553,04 lei, fără TVA.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Servicii de tipărire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livrare de eco-vouchere,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de servicii de selec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a unită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ilor comerciale participante, colectarea, verificarea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predarea documentelor pentru decontarea eco-voucherelor”, în cadrul ”Programului de stimulare a eliminării din traficul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tean a autovehiculelor cu grad ridicat de poluare prin acordarea de eco-vouchere” –încheiat cu UP România SRL,  valoare contractată: 395.000 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Finalizare proiect de reabilitare sistem rutier cu linii de tramvai pe Sos. </w:t>
      </w:r>
      <w:r w:rsidR="00650813" w:rsidRPr="00C15BCC">
        <w:rPr>
          <w:rFonts w:ascii="Arial" w:hAnsi="Arial" w:cs="Arial"/>
        </w:rPr>
        <w:t>Pantelimon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Sos Iancului (Park &amp;Ride);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Servicii de între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inere gazon pentru Arena Na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ională încheiat cu SC SPORT FIELDS SRL valoare contractată – acord cadru: 18.919.987,80 lei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Pentru prima data autoritatea contractanta a organizat procedura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 publică prin </w:t>
      </w:r>
      <w:r w:rsidRPr="00C15BCC">
        <w:rPr>
          <w:rFonts w:ascii="Arial" w:hAnsi="Arial" w:cs="Arial"/>
          <w:b/>
        </w:rPr>
        <w:t>Bursa Română de Mărfuri</w:t>
      </w:r>
      <w:r w:rsidRPr="00C15BCC">
        <w:rPr>
          <w:rFonts w:ascii="Arial" w:hAnsi="Arial" w:cs="Arial"/>
        </w:rPr>
        <w:t xml:space="preserve"> a contractului privind „Furnizare  energie electrică pentru sistemul de iluminat public din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ti”.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  <w:b/>
        </w:rPr>
        <w:t>1.3  Proceduri de achizi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ie publică ini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iate în anul 2019, aflate în derulare la 31.12.2019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      Având în vedere complexitatea contractelor/acorduri-cadru ce urmează a fi atribuite,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data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ierii procedurii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publică, la data de 31.12.2019 erau  în curs de derulare un </w:t>
      </w:r>
      <w:r w:rsidRPr="00C15BCC">
        <w:rPr>
          <w:rFonts w:ascii="Arial" w:hAnsi="Arial" w:cs="Arial"/>
        </w:rPr>
        <w:lastRenderedPageBreak/>
        <w:t>număr de 18 proceduri, a căror atribuire se va realiza în cursul anului 2020, dintre care enumerăm: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Acord Cadru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de elemente constructive pentru mobilier urban, respectiv adăposturi modulare pentru 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de troleibuz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ii de autobuz,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Furnizare produse - scaune spectatori monobloc pentru obiectivul Arena Na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ională în acord cu cerin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ele tehnice necesare organizării campionatului european de fotbal - UEFA 2020 la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ti,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Sistem de Management al Documentelor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i Fluxurilor de Lucru,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Lucrări suplimentare aferente contractului de proiectare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lucrări privind obiectivul ”Realizarea re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elelor publice de alimentare cu apă, canalizare, iluminat public,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drumurilor aferente Ansamblului de locuin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 Henri Coandă, sector 1 - Lotul 2„.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Servicii de transport aerian - Acord cadru,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”Extindere Corp C1 Liceul Teoretic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tefan Odobleja, cu un corp având regim de înăl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ime P+3E, Str.Dornească nr.7A, Sector 5,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ti”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Program local multianual privind cre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terea performan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ei energetice a blocurilor de locuin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 din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sectorul 6 - 18 loturi, totalizând un număr de 66 de blocuri;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Edificare clădire cu destina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de grădini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ă cu 4 grupe, str. Peri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 nr. 27, sector 2 -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cu dotări,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Construire grădini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ă cu 8 grupe, str. Pescăru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ului nr. 124, sector 2 -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cu dotări,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Extindere grădini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ă nouă cu 8 grupe, str. Sportului nr. 21, sector 2 -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cu dotări,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Construire grădini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ă nouă cu 7 grupe, str.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tiucii nr. 54, sector 2 -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lucrări cu dotări, 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Piese de schimb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consumabile pentru echipamente tehnică de calcul</w:t>
      </w:r>
    </w:p>
    <w:p w:rsidR="009E6317" w:rsidRPr="00C15BCC" w:rsidRDefault="009E6317" w:rsidP="00650813">
      <w:pPr>
        <w:pStyle w:val="NoSpacing"/>
        <w:numPr>
          <w:ilvl w:val="0"/>
          <w:numId w:val="3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Construire AfterSchool - 8 clase -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coala Gimnazială nr. 103, str. Vigoniei nr. 3-5, sector 5 - execu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cu dotări.</w:t>
      </w:r>
    </w:p>
    <w:p w:rsidR="009E6317" w:rsidRPr="00C15BCC" w:rsidRDefault="009E6317" w:rsidP="00650813">
      <w:pPr>
        <w:pStyle w:val="NoSpacing"/>
        <w:spacing w:line="360" w:lineRule="auto"/>
        <w:ind w:left="142" w:firstLine="566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La data de 31.12.2019 se aflau în derulare procedurile de licita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deschisă,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iate în anul 2018, pentru atribuirea următoarelor contracte:</w:t>
      </w:r>
    </w:p>
    <w:p w:rsidR="009E6317" w:rsidRPr="00C15BCC" w:rsidRDefault="009E6317" w:rsidP="00650813">
      <w:pPr>
        <w:pStyle w:val="NoSpacing"/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     - Contract de furnizare având ca obiect “Achizi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ionarea a 100 troleibuze”;</w:t>
      </w:r>
    </w:p>
    <w:p w:rsidR="009E6317" w:rsidRPr="00C15BCC" w:rsidRDefault="009E6317" w:rsidP="00650813">
      <w:pPr>
        <w:pStyle w:val="NoSpacing"/>
        <w:spacing w:line="360" w:lineRule="auto"/>
        <w:ind w:left="142" w:hanging="142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     - Contract de furnizare </w:t>
      </w:r>
      <w:r w:rsidR="00650813" w:rsidRPr="00C15BCC">
        <w:rPr>
          <w:rFonts w:ascii="Arial" w:hAnsi="Arial" w:cs="Arial"/>
        </w:rPr>
        <w:t>având</w:t>
      </w:r>
      <w:r w:rsidRPr="00C15BCC">
        <w:rPr>
          <w:rFonts w:ascii="Arial" w:hAnsi="Arial" w:cs="Arial"/>
        </w:rPr>
        <w:t xml:space="preserve"> ca obiect “</w:t>
      </w:r>
      <w:r w:rsidR="00650813" w:rsidRPr="00C15BCC">
        <w:rPr>
          <w:rFonts w:ascii="Arial" w:hAnsi="Arial" w:cs="Arial"/>
        </w:rPr>
        <w:t>Achiziționarea</w:t>
      </w:r>
      <w:r w:rsidRPr="00C15BCC">
        <w:rPr>
          <w:rFonts w:ascii="Arial" w:hAnsi="Arial" w:cs="Arial"/>
        </w:rPr>
        <w:t xml:space="preserve"> a 100 tramvaie”;</w:t>
      </w:r>
    </w:p>
    <w:p w:rsidR="00650813" w:rsidRDefault="00650813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  <w:b/>
        </w:rPr>
        <w:t>1.4 Proceduri de achizi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 xml:space="preserve">ii publice </w:t>
      </w:r>
      <w:r w:rsidR="00650813" w:rsidRPr="00C15BCC">
        <w:rPr>
          <w:rFonts w:ascii="Arial" w:hAnsi="Arial" w:cs="Arial"/>
          <w:b/>
        </w:rPr>
        <w:t>inițiate</w:t>
      </w:r>
      <w:r w:rsidRPr="00C15BCC">
        <w:rPr>
          <w:rFonts w:ascii="Arial" w:hAnsi="Arial" w:cs="Arial"/>
          <w:b/>
        </w:rPr>
        <w:t xml:space="preserve"> în anii anteriori </w:t>
      </w:r>
      <w:r w:rsidR="00C15BCC">
        <w:rPr>
          <w:rFonts w:ascii="Arial" w:hAnsi="Arial" w:cs="Arial"/>
          <w:b/>
        </w:rPr>
        <w:t>ș</w:t>
      </w:r>
      <w:r w:rsidRPr="00C15BCC">
        <w:rPr>
          <w:rFonts w:ascii="Arial" w:hAnsi="Arial" w:cs="Arial"/>
          <w:b/>
        </w:rPr>
        <w:t>i atribuite în anul 2019</w:t>
      </w:r>
    </w:p>
    <w:p w:rsidR="009E6317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În decursul anului 2019, Direc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Generală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Publice a continuat derularea procedurilor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 care au fost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iate în anii anteriori, atribuind un număr de 5 contracte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 publică, un acord-cadru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un contract încheiat în urma unei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 directe, respectiv Contractul de prestări servicii de ”Actualizare a Planului de ac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iune pentru diminuarea nivelului de zgomot în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conform prevederilor Hotărârii de Guvern nr.321/2005”.</w:t>
      </w:r>
    </w:p>
    <w:p w:rsidR="00465512" w:rsidRPr="00C15BCC" w:rsidRDefault="00465512" w:rsidP="009E6317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/>
      </w:tblPr>
      <w:tblGrid>
        <w:gridCol w:w="5122"/>
        <w:gridCol w:w="4308"/>
      </w:tblGrid>
      <w:tr w:rsidR="009E6317" w:rsidRPr="00C15BCC" w:rsidTr="00650813">
        <w:trPr>
          <w:trHeight w:val="512"/>
        </w:trPr>
        <w:tc>
          <w:tcPr>
            <w:tcW w:w="2716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Număr </w:t>
            </w:r>
            <w:r w:rsidR="00C15BCC">
              <w:rPr>
                <w:rFonts w:ascii="Arial" w:hAnsi="Arial" w:cs="Arial"/>
                <w:bCs/>
                <w:sz w:val="22"/>
                <w:szCs w:val="22"/>
              </w:rPr>
              <w:t>ș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>i tip proceduri</w:t>
            </w:r>
          </w:p>
        </w:tc>
        <w:tc>
          <w:tcPr>
            <w:tcW w:w="2284" w:type="pct"/>
            <w:tcBorders>
              <w:top w:val="single" w:sz="4" w:space="0" w:color="5B9BD5"/>
              <w:bottom w:val="single" w:sz="4" w:space="0" w:color="5B9BD5"/>
            </w:tcBorders>
            <w:shd w:val="clear" w:color="auto" w:fill="9CC2E5"/>
            <w:vAlign w:val="center"/>
          </w:tcPr>
          <w:p w:rsidR="009E6317" w:rsidRPr="00C15BCC" w:rsidRDefault="009E6317" w:rsidP="00650813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color w:val="FF0000"/>
              </w:rPr>
            </w:pPr>
            <w:r w:rsidRPr="00C15BCC">
              <w:rPr>
                <w:rFonts w:ascii="Arial" w:hAnsi="Arial" w:cs="Arial"/>
                <w:bCs/>
                <w:sz w:val="22"/>
                <w:szCs w:val="22"/>
              </w:rPr>
              <w:t>Valoare totală, atribuită</w:t>
            </w:r>
            <w:r w:rsidR="00465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5BCC">
              <w:rPr>
                <w:rFonts w:ascii="Arial" w:hAnsi="Arial" w:cs="Arial"/>
                <w:bCs/>
                <w:sz w:val="22"/>
                <w:szCs w:val="22"/>
              </w:rPr>
              <w:t>lei, fără TVA</w:t>
            </w:r>
          </w:p>
        </w:tc>
      </w:tr>
      <w:tr w:rsidR="009E6317" w:rsidRPr="00C15BCC" w:rsidTr="00650813">
        <w:trPr>
          <w:trHeight w:val="461"/>
        </w:trPr>
        <w:tc>
          <w:tcPr>
            <w:tcW w:w="2716" w:type="pct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4 licita</w:t>
            </w:r>
            <w:r w:rsidR="00C15BCC">
              <w:rPr>
                <w:rFonts w:ascii="Arial" w:hAnsi="Arial" w:cs="Arial"/>
                <w:sz w:val="22"/>
                <w:szCs w:val="22"/>
              </w:rPr>
              <w:t>ț</w:t>
            </w:r>
            <w:r w:rsidRPr="00C15BCC">
              <w:rPr>
                <w:rFonts w:ascii="Arial" w:hAnsi="Arial" w:cs="Arial"/>
                <w:sz w:val="22"/>
                <w:szCs w:val="22"/>
              </w:rPr>
              <w:t>ii deschise</w:t>
            </w:r>
          </w:p>
        </w:tc>
        <w:tc>
          <w:tcPr>
            <w:tcW w:w="2284" w:type="pct"/>
            <w:vMerge w:val="restart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18.269.878,20</w:t>
            </w:r>
          </w:p>
        </w:tc>
      </w:tr>
      <w:tr w:rsidR="009E6317" w:rsidRPr="00C15BCC" w:rsidTr="00650813">
        <w:trPr>
          <w:trHeight w:val="461"/>
        </w:trPr>
        <w:tc>
          <w:tcPr>
            <w:tcW w:w="2716" w:type="pct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 procedură simplificată</w:t>
            </w:r>
          </w:p>
        </w:tc>
        <w:tc>
          <w:tcPr>
            <w:tcW w:w="2284" w:type="pct"/>
            <w:vMerge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</w:p>
        </w:tc>
      </w:tr>
      <w:tr w:rsidR="009E6317" w:rsidRPr="00C15BCC" w:rsidTr="00650813">
        <w:trPr>
          <w:trHeight w:val="461"/>
        </w:trPr>
        <w:tc>
          <w:tcPr>
            <w:tcW w:w="2716" w:type="pct"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rPr>
                <w:rFonts w:ascii="Arial" w:hAnsi="Arial" w:cs="Arial"/>
              </w:rPr>
            </w:pPr>
            <w:r w:rsidRPr="00C15BCC">
              <w:rPr>
                <w:rFonts w:ascii="Arial" w:hAnsi="Arial" w:cs="Arial"/>
                <w:sz w:val="22"/>
                <w:szCs w:val="22"/>
              </w:rPr>
              <w:t>1 negociere fără publicare anunt participare</w:t>
            </w:r>
          </w:p>
        </w:tc>
        <w:tc>
          <w:tcPr>
            <w:tcW w:w="2284" w:type="pct"/>
            <w:vMerge/>
            <w:shd w:val="clear" w:color="auto" w:fill="DEEAF6"/>
            <w:vAlign w:val="center"/>
          </w:tcPr>
          <w:p w:rsidR="009E6317" w:rsidRPr="00C15BCC" w:rsidRDefault="009E6317" w:rsidP="009E6317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</w:rPr>
            </w:pPr>
          </w:p>
        </w:tc>
      </w:tr>
    </w:tbl>
    <w:p w:rsidR="009E6317" w:rsidRPr="00C15BCC" w:rsidRDefault="009E6317" w:rsidP="00650813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Prin cele 6 proceduri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publică, ini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iate în anii preceden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atribuite în anul 2019, au fost atribuite contracte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publică/acorduri-cadru, după cum urmează:</w:t>
      </w:r>
    </w:p>
    <w:p w:rsidR="009E6317" w:rsidRPr="00C15BCC" w:rsidRDefault="009E6317" w:rsidP="009E6317">
      <w:pPr>
        <w:spacing w:line="360" w:lineRule="auto"/>
        <w:contextualSpacing/>
        <w:mirrorIndents/>
        <w:rPr>
          <w:rFonts w:ascii="Arial" w:hAnsi="Arial" w:cs="Arial"/>
          <w:i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- 2 contracte de furnizare în valoare de 2.849.691,00 lei, fără TVA (</w:t>
      </w:r>
      <w:r w:rsidRPr="00C15BCC">
        <w:rPr>
          <w:rFonts w:ascii="Arial" w:hAnsi="Arial" w:cs="Arial"/>
          <w:i/>
          <w:sz w:val="22"/>
          <w:szCs w:val="22"/>
        </w:rPr>
        <w:t>Contract de furnizare autoturisme”;</w:t>
      </w:r>
    </w:p>
    <w:p w:rsidR="009E6317" w:rsidRPr="00C15BCC" w:rsidRDefault="009E6317" w:rsidP="009E6317">
      <w:pPr>
        <w:spacing w:line="360" w:lineRule="auto"/>
        <w:mirrorIndents/>
        <w:rPr>
          <w:rFonts w:ascii="Arial" w:hAnsi="Arial" w:cs="Arial"/>
          <w:i/>
          <w:sz w:val="22"/>
          <w:szCs w:val="22"/>
        </w:rPr>
      </w:pPr>
      <w:r w:rsidRPr="00C15BCC">
        <w:rPr>
          <w:rFonts w:ascii="Arial" w:hAnsi="Arial" w:cs="Arial"/>
          <w:i/>
          <w:sz w:val="22"/>
          <w:szCs w:val="22"/>
        </w:rPr>
        <w:t>Contract de furnizare ”Truse de prim ajutor pentru situa</w:t>
      </w:r>
      <w:r w:rsidR="00C15BCC">
        <w:rPr>
          <w:rFonts w:ascii="Arial" w:hAnsi="Arial" w:cs="Arial"/>
          <w:i/>
          <w:sz w:val="22"/>
          <w:szCs w:val="22"/>
        </w:rPr>
        <w:t>ț</w:t>
      </w:r>
      <w:r w:rsidRPr="00C15BCC">
        <w:rPr>
          <w:rFonts w:ascii="Arial" w:hAnsi="Arial" w:cs="Arial"/>
          <w:i/>
          <w:sz w:val="22"/>
          <w:szCs w:val="22"/>
        </w:rPr>
        <w:t>ii de urgen</w:t>
      </w:r>
      <w:r w:rsidR="00C15BCC">
        <w:rPr>
          <w:rFonts w:ascii="Arial" w:hAnsi="Arial" w:cs="Arial"/>
          <w:i/>
          <w:sz w:val="22"/>
          <w:szCs w:val="22"/>
        </w:rPr>
        <w:t>ț</w:t>
      </w:r>
      <w:r w:rsidRPr="00C15BCC">
        <w:rPr>
          <w:rFonts w:ascii="Arial" w:hAnsi="Arial" w:cs="Arial"/>
          <w:i/>
          <w:sz w:val="22"/>
          <w:szCs w:val="22"/>
        </w:rPr>
        <w:t>ă”;)</w:t>
      </w:r>
    </w:p>
    <w:p w:rsidR="009E6317" w:rsidRPr="00C15BCC" w:rsidRDefault="009E6317" w:rsidP="009E6317">
      <w:pPr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- 1 contract de servicii în valoare de 32.400,00 lei, fără TVA  (</w:t>
      </w:r>
      <w:r w:rsidRPr="00C15BCC">
        <w:rPr>
          <w:rFonts w:ascii="Arial" w:hAnsi="Arial" w:cs="Arial"/>
          <w:i/>
          <w:sz w:val="22"/>
          <w:szCs w:val="22"/>
        </w:rPr>
        <w:t>Contract de prestări „Servicii de telefonie fixă”);</w:t>
      </w:r>
    </w:p>
    <w:p w:rsidR="009E6317" w:rsidRPr="00C15BCC" w:rsidRDefault="009E6317" w:rsidP="009E6317">
      <w:pPr>
        <w:spacing w:line="360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-  1 acord cadru de servicii în valoare de 7.800.000,00 lei, fără TVA (</w:t>
      </w:r>
      <w:r w:rsidRPr="00C15BCC">
        <w:rPr>
          <w:rFonts w:ascii="Arial" w:hAnsi="Arial" w:cs="Arial"/>
          <w:i/>
          <w:sz w:val="22"/>
          <w:szCs w:val="22"/>
        </w:rPr>
        <w:t>Acord-cadru „servicii de evaluare imobiliară a bunurilor aflate în domeniul public/privat sau în administrarea Municipiului Bucure</w:t>
      </w:r>
      <w:r w:rsidR="00C15BCC">
        <w:rPr>
          <w:rFonts w:ascii="Arial" w:hAnsi="Arial" w:cs="Arial"/>
          <w:i/>
          <w:sz w:val="22"/>
          <w:szCs w:val="22"/>
        </w:rPr>
        <w:t>ș</w:t>
      </w:r>
      <w:r w:rsidRPr="00C15BCC">
        <w:rPr>
          <w:rFonts w:ascii="Arial" w:hAnsi="Arial" w:cs="Arial"/>
          <w:i/>
          <w:sz w:val="22"/>
          <w:szCs w:val="22"/>
        </w:rPr>
        <w:t xml:space="preserve">ti, precum </w:t>
      </w:r>
      <w:r w:rsidR="00C15BCC">
        <w:rPr>
          <w:rFonts w:ascii="Arial" w:hAnsi="Arial" w:cs="Arial"/>
          <w:i/>
          <w:sz w:val="22"/>
          <w:szCs w:val="22"/>
        </w:rPr>
        <w:t>ș</w:t>
      </w:r>
      <w:r w:rsidRPr="00C15BCC">
        <w:rPr>
          <w:rFonts w:ascii="Arial" w:hAnsi="Arial" w:cs="Arial"/>
          <w:i/>
          <w:sz w:val="22"/>
          <w:szCs w:val="22"/>
        </w:rPr>
        <w:t>i a imobilelor care pot fi achizi</w:t>
      </w:r>
      <w:r w:rsidR="00C15BCC">
        <w:rPr>
          <w:rFonts w:ascii="Arial" w:hAnsi="Arial" w:cs="Arial"/>
          <w:i/>
          <w:sz w:val="22"/>
          <w:szCs w:val="22"/>
        </w:rPr>
        <w:t>ț</w:t>
      </w:r>
      <w:r w:rsidRPr="00C15BCC">
        <w:rPr>
          <w:rFonts w:ascii="Arial" w:hAnsi="Arial" w:cs="Arial"/>
          <w:i/>
          <w:sz w:val="22"/>
          <w:szCs w:val="22"/>
        </w:rPr>
        <w:t>ionate de către Municipiul Bucure</w:t>
      </w:r>
      <w:r w:rsidR="00C15BCC">
        <w:rPr>
          <w:rFonts w:ascii="Arial" w:hAnsi="Arial" w:cs="Arial"/>
          <w:i/>
          <w:sz w:val="22"/>
          <w:szCs w:val="22"/>
        </w:rPr>
        <w:t>ș</w:t>
      </w:r>
      <w:r w:rsidRPr="00C15BCC">
        <w:rPr>
          <w:rFonts w:ascii="Arial" w:hAnsi="Arial" w:cs="Arial"/>
          <w:i/>
          <w:sz w:val="22"/>
          <w:szCs w:val="22"/>
        </w:rPr>
        <w:t>ti de pe pia</w:t>
      </w:r>
      <w:r w:rsidR="00C15BCC">
        <w:rPr>
          <w:rFonts w:ascii="Arial" w:hAnsi="Arial" w:cs="Arial"/>
          <w:i/>
          <w:sz w:val="22"/>
          <w:szCs w:val="22"/>
        </w:rPr>
        <w:t>ț</w:t>
      </w:r>
      <w:r w:rsidRPr="00C15BCC">
        <w:rPr>
          <w:rFonts w:ascii="Arial" w:hAnsi="Arial" w:cs="Arial"/>
          <w:i/>
          <w:sz w:val="22"/>
          <w:szCs w:val="22"/>
        </w:rPr>
        <w:t>a liberă,</w:t>
      </w:r>
      <w:r w:rsidRPr="00C15BCC">
        <w:rPr>
          <w:rFonts w:ascii="Arial" w:hAnsi="Arial" w:cs="Arial"/>
          <w:sz w:val="22"/>
          <w:szCs w:val="22"/>
        </w:rPr>
        <w:t xml:space="preserve">  în baza căruia s-au încheiat până în prezent 2 contracte subsecvente în valoare de 84.000,00 lei, fără TVA, respectiv 410.000,00 lei, fără TVA) </w:t>
      </w:r>
    </w:p>
    <w:p w:rsidR="009E6317" w:rsidRDefault="009E6317" w:rsidP="009E6317">
      <w:pPr>
        <w:spacing w:line="360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</w:rPr>
        <w:t>- 2 contracte de lucrări în valoare de 7.576.987,17 lei, fără TVA (Contract de lucrări de semnalizare orizontală pe Traseul I : P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a. Victoriei-Bd. Aviatorilor- Bd.Beijing - Str. N. Caramfil-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 xml:space="preserve">os.Pipera tronson I din programul de ”Implementarea unui sistem de transport cu bicicleta în zona centrală a Municipiului </w:t>
      </w:r>
      <w:r w:rsidR="00650813" w:rsidRPr="00C15BCC">
        <w:rPr>
          <w:rFonts w:ascii="Arial" w:hAnsi="Arial" w:cs="Arial"/>
          <w:sz w:val="22"/>
          <w:szCs w:val="22"/>
        </w:rPr>
        <w:t>Bucure</w:t>
      </w:r>
      <w:r w:rsidR="00650813">
        <w:rPr>
          <w:rFonts w:ascii="Arial" w:hAnsi="Arial" w:cs="Arial"/>
          <w:sz w:val="22"/>
          <w:szCs w:val="22"/>
        </w:rPr>
        <w:t>st</w:t>
      </w:r>
      <w:r w:rsidR="00650813" w:rsidRPr="00C15BCC">
        <w:rPr>
          <w:rFonts w:ascii="Arial" w:hAnsi="Arial" w:cs="Arial"/>
          <w:sz w:val="22"/>
          <w:szCs w:val="22"/>
        </w:rPr>
        <w:t>i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Actul Adi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ional nr.1 la contractul nr. 3674/15.06.2007 - lucrări de construc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 xml:space="preserve">ii pentru autostrăzi,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 xml:space="preserve">osele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 xml:space="preserve">i străzi </w:t>
      </w:r>
      <w:r w:rsidR="00C15BCC">
        <w:rPr>
          <w:rFonts w:ascii="Arial" w:hAnsi="Arial" w:cs="Arial"/>
          <w:sz w:val="22"/>
          <w:szCs w:val="22"/>
        </w:rPr>
        <w:t>ș</w:t>
      </w:r>
      <w:r w:rsidRPr="00C15BCC">
        <w:rPr>
          <w:rFonts w:ascii="Arial" w:hAnsi="Arial" w:cs="Arial"/>
          <w:sz w:val="22"/>
          <w:szCs w:val="22"/>
        </w:rPr>
        <w:t>i proiect tehnic pentru obiectivul de investi</w:t>
      </w:r>
      <w:r w:rsidR="00C15BCC">
        <w:rPr>
          <w:rFonts w:ascii="Arial" w:hAnsi="Arial" w:cs="Arial"/>
          <w:sz w:val="22"/>
          <w:szCs w:val="22"/>
        </w:rPr>
        <w:t>ț</w:t>
      </w:r>
      <w:r w:rsidRPr="00C15BCC">
        <w:rPr>
          <w:rFonts w:ascii="Arial" w:hAnsi="Arial" w:cs="Arial"/>
          <w:sz w:val="22"/>
          <w:szCs w:val="22"/>
        </w:rPr>
        <w:t>ii ”Străpungere Bd. Nicolae Grigorescu - Splai Dudescu”.)</w:t>
      </w:r>
    </w:p>
    <w:p w:rsidR="00650813" w:rsidRPr="00C15BCC" w:rsidRDefault="00650813" w:rsidP="009E6317">
      <w:pPr>
        <w:spacing w:line="360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E6317" w:rsidRPr="00650813" w:rsidRDefault="009E6317" w:rsidP="009E6317">
      <w:pPr>
        <w:pStyle w:val="NoSpacing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650813">
        <w:rPr>
          <w:rFonts w:ascii="Arial" w:hAnsi="Arial" w:cs="Arial"/>
          <w:b/>
          <w:i/>
        </w:rPr>
        <w:t>Contracte atribuite în baza unor proiecte finan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>ate din fonduri nerambursabile</w:t>
      </w:r>
    </w:p>
    <w:p w:rsidR="009E6317" w:rsidRPr="00C15BCC" w:rsidRDefault="009E6317" w:rsidP="00650813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În anul 2019 s-au încheiat un număr de 10 de contracte în valoare totală de 300.543.364,86 lei, fără TVA, după cum urmează: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4 contracte pentru proiectul ”Finalizarea 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iei de Epurare Glina, reabilitarea principalelor colectoare de canalizare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canalului colector Dâmbovi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 (Caseta) în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– Etapa II (contract de finan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are nerambursabilă nr. 12/21.12.2016)” în valoare de 300.201.354,36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2 contracte pentru proiectul ”Modernizarea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dotarea liniei de tramvai nr. 55 (contract de finan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are nerambursabilă nr. 3442/29.10.2018)” în valoare de 127.966,00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1 contract pentru proiectul ” WALK THE GLOBAL WALK, conform HCGMB nr. 38/22.02.2018” în valoare de 76.630,00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lastRenderedPageBreak/>
        <w:t>1 contract pentru proiectul ”Achizi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 autobuze electrice necesare îmbunătă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irii transportului public de călători pe traseele 300, 330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335 (contract de finan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are nerambursabilă nr. 4369)” în valoare de 50.834,50 lei, fără TVA;</w:t>
      </w:r>
    </w:p>
    <w:p w:rsidR="009E6317" w:rsidRPr="00C15BCC" w:rsidRDefault="009E6317" w:rsidP="009E6317">
      <w:pPr>
        <w:pStyle w:val="ListParagraph"/>
        <w:numPr>
          <w:ilvl w:val="0"/>
          <w:numId w:val="34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2 contracte pentru proiectul ”Modernizarea liniei de tramvai pe B-dul G-ral Vasile Milea de la intersec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cu B-dul Timi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oara până în dreptul intrării în benzinăria OMV (contract de finan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are nerambursabilă nr. 4311/24.05.2019)” în valoare de 86.580,00 lei, fără TVA.</w:t>
      </w:r>
    </w:p>
    <w:p w:rsidR="009E6317" w:rsidRPr="00C15BCC" w:rsidRDefault="009E6317" w:rsidP="009E6317">
      <w:pPr>
        <w:pStyle w:val="ListParagraph"/>
        <w:spacing w:after="0" w:line="360" w:lineRule="auto"/>
        <w:ind w:left="0"/>
        <w:mirrorIndents/>
        <w:jc w:val="both"/>
        <w:rPr>
          <w:rFonts w:ascii="Arial" w:hAnsi="Arial" w:cs="Arial"/>
        </w:rPr>
      </w:pPr>
    </w:p>
    <w:p w:rsidR="009E6317" w:rsidRPr="00650813" w:rsidRDefault="009E6317" w:rsidP="009E6317">
      <w:pPr>
        <w:pStyle w:val="ListParagraph"/>
        <w:numPr>
          <w:ilvl w:val="0"/>
          <w:numId w:val="35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i/>
        </w:rPr>
      </w:pPr>
      <w:r w:rsidRPr="00650813">
        <w:rPr>
          <w:rFonts w:ascii="Arial" w:hAnsi="Arial" w:cs="Arial"/>
          <w:b/>
          <w:i/>
        </w:rPr>
        <w:t>Achizi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>ii directe</w:t>
      </w:r>
    </w:p>
    <w:p w:rsidR="009E6317" w:rsidRPr="00C15BCC" w:rsidRDefault="00650813" w:rsidP="009E6317">
      <w:pPr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317" w:rsidRPr="00C15BCC">
        <w:rPr>
          <w:rFonts w:ascii="Arial" w:hAnsi="Arial" w:cs="Arial"/>
          <w:sz w:val="22"/>
          <w:szCs w:val="22"/>
        </w:rPr>
        <w:t xml:space="preserve"> La propunerea compartimentelor de specialitate ale Primăriei Municipiului Bucure</w:t>
      </w:r>
      <w:r w:rsidR="00C15BCC">
        <w:rPr>
          <w:rFonts w:ascii="Arial" w:hAnsi="Arial" w:cs="Arial"/>
          <w:sz w:val="22"/>
          <w:szCs w:val="22"/>
        </w:rPr>
        <w:t>ș</w:t>
      </w:r>
      <w:r w:rsidR="009E6317" w:rsidRPr="00C15BCC">
        <w:rPr>
          <w:rFonts w:ascii="Arial" w:hAnsi="Arial" w:cs="Arial"/>
          <w:sz w:val="22"/>
          <w:szCs w:val="22"/>
        </w:rPr>
        <w:t>ti, în anul 2019, Direc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ia Generală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Publice a realizat online prin intermediul SEAP/SICAP un număr de 84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directe, din care un nr. de 24 de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în valoare de 995.752,23 lei, fără TVA, fiind realizate potrivit art.19 din Legea nr. 98/2016.</w:t>
      </w:r>
    </w:p>
    <w:p w:rsidR="009E6317" w:rsidRPr="00C15BCC" w:rsidRDefault="00650813" w:rsidP="009E6317">
      <w:pPr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317" w:rsidRPr="00C15BCC">
        <w:rPr>
          <w:rFonts w:ascii="Arial" w:hAnsi="Arial" w:cs="Arial"/>
          <w:sz w:val="22"/>
          <w:szCs w:val="22"/>
        </w:rPr>
        <w:t xml:space="preserve">  La propunerea compartimentelor de specialitate ale Primăriei Municipiului Bucure</w:t>
      </w:r>
      <w:r w:rsidR="00C15BCC">
        <w:rPr>
          <w:rFonts w:ascii="Arial" w:hAnsi="Arial" w:cs="Arial"/>
          <w:sz w:val="22"/>
          <w:szCs w:val="22"/>
        </w:rPr>
        <w:t>ș</w:t>
      </w:r>
      <w:r w:rsidR="009E6317" w:rsidRPr="00C15BCC">
        <w:rPr>
          <w:rFonts w:ascii="Arial" w:hAnsi="Arial" w:cs="Arial"/>
          <w:sz w:val="22"/>
          <w:szCs w:val="22"/>
        </w:rPr>
        <w:t>ti, în anul 2019, Direc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ia Generală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Publice a realizat online prin intermediul SEAP/SICAP un număr de 84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directe, din care un nr. de 24 de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în valoare de 995.752,23 lei, fără TVA, fiind realizate potrivit art.19 din Legea nr. 98/2016.</w:t>
      </w:r>
    </w:p>
    <w:p w:rsidR="009E6317" w:rsidRPr="00C15BCC" w:rsidRDefault="00650813" w:rsidP="009E6317">
      <w:pPr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317" w:rsidRPr="00C15BCC">
        <w:rPr>
          <w:rFonts w:ascii="Arial" w:hAnsi="Arial" w:cs="Arial"/>
          <w:sz w:val="22"/>
          <w:szCs w:val="22"/>
        </w:rPr>
        <w:t xml:space="preserve"> Valoarea contractată aferentă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iilor directe ini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 xml:space="preserve">iate </w:t>
      </w:r>
      <w:r w:rsidR="00C15BCC">
        <w:rPr>
          <w:rFonts w:ascii="Arial" w:hAnsi="Arial" w:cs="Arial"/>
          <w:sz w:val="22"/>
          <w:szCs w:val="22"/>
        </w:rPr>
        <w:t>ș</w:t>
      </w:r>
      <w:r w:rsidR="009E6317" w:rsidRPr="00C15BCC">
        <w:rPr>
          <w:rFonts w:ascii="Arial" w:hAnsi="Arial" w:cs="Arial"/>
          <w:sz w:val="22"/>
          <w:szCs w:val="22"/>
        </w:rPr>
        <w:t xml:space="preserve">i încheiate în cursul anului 2019 este de 2.389.034,18 lei fără TVA (contracte </w:t>
      </w:r>
      <w:r w:rsidR="00C15BCC">
        <w:rPr>
          <w:rFonts w:ascii="Arial" w:hAnsi="Arial" w:cs="Arial"/>
          <w:sz w:val="22"/>
          <w:szCs w:val="22"/>
        </w:rPr>
        <w:t>ș</w:t>
      </w:r>
      <w:r w:rsidR="009E6317" w:rsidRPr="00C15BCC">
        <w:rPr>
          <w:rFonts w:ascii="Arial" w:hAnsi="Arial" w:cs="Arial"/>
          <w:sz w:val="22"/>
          <w:szCs w:val="22"/>
        </w:rPr>
        <w:t>i note de comandă)</w:t>
      </w:r>
    </w:p>
    <w:p w:rsidR="009E6317" w:rsidRPr="00C15BCC" w:rsidRDefault="009E6317" w:rsidP="009E6317">
      <w:pPr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</w:p>
    <w:p w:rsidR="009E6317" w:rsidRPr="00650813" w:rsidRDefault="009E6317" w:rsidP="009E6317">
      <w:pPr>
        <w:pStyle w:val="NoSpacing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650813">
        <w:rPr>
          <w:rFonts w:ascii="Arial" w:hAnsi="Arial" w:cs="Arial"/>
          <w:b/>
          <w:i/>
        </w:rPr>
        <w:t>Contesta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 xml:space="preserve">ii </w:t>
      </w:r>
      <w:r w:rsidR="00C15BCC" w:rsidRPr="00650813">
        <w:rPr>
          <w:rFonts w:ascii="Arial" w:hAnsi="Arial" w:cs="Arial"/>
          <w:b/>
          <w:i/>
        </w:rPr>
        <w:t>ș</w:t>
      </w:r>
      <w:r w:rsidRPr="00650813">
        <w:rPr>
          <w:rFonts w:ascii="Arial" w:hAnsi="Arial" w:cs="Arial"/>
          <w:b/>
          <w:i/>
        </w:rPr>
        <w:t>i ac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>iuni în instan</w:t>
      </w:r>
      <w:r w:rsidR="00C15BCC" w:rsidRPr="00650813">
        <w:rPr>
          <w:rFonts w:ascii="Arial" w:hAnsi="Arial" w:cs="Arial"/>
          <w:b/>
          <w:i/>
        </w:rPr>
        <w:t>ț</w:t>
      </w:r>
      <w:r w:rsidRPr="00650813">
        <w:rPr>
          <w:rFonts w:ascii="Arial" w:hAnsi="Arial" w:cs="Arial"/>
          <w:b/>
          <w:i/>
        </w:rPr>
        <w:t>ă</w:t>
      </w:r>
    </w:p>
    <w:p w:rsidR="009E6317" w:rsidRPr="00C15BCC" w:rsidRDefault="00650813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6317" w:rsidRPr="00C15BCC">
        <w:rPr>
          <w:rFonts w:ascii="Arial" w:hAnsi="Arial" w:cs="Arial"/>
        </w:rPr>
        <w:t xml:space="preserve"> În cursul anului 2019 au fost formulate două contesta</w:t>
      </w:r>
      <w:r w:rsidR="00C15BCC">
        <w:rPr>
          <w:rFonts w:ascii="Arial" w:hAnsi="Arial" w:cs="Arial"/>
        </w:rPr>
        <w:t>ț</w:t>
      </w:r>
      <w:r w:rsidR="009E6317" w:rsidRPr="00C15BCC">
        <w:rPr>
          <w:rFonts w:ascii="Arial" w:hAnsi="Arial" w:cs="Arial"/>
        </w:rPr>
        <w:t>ii cu privire la rezultatul procedurilor de atribuire, după cum urmează:</w:t>
      </w:r>
    </w:p>
    <w:p w:rsidR="009E6317" w:rsidRPr="00C15BCC" w:rsidRDefault="009E6317" w:rsidP="009E6317">
      <w:pPr>
        <w:pStyle w:val="NoSpacing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C15BCC">
        <w:rPr>
          <w:rFonts w:ascii="Arial" w:hAnsi="Arial" w:cs="Arial"/>
        </w:rPr>
        <w:t>la Consiliului Na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ional de Solu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 a Contesta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iilor a fost formulată contesta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ia privind rezultatul atribuirii contractului -  ” </w:t>
      </w:r>
      <w:r w:rsidR="00650813" w:rsidRPr="00C15BCC">
        <w:rPr>
          <w:rFonts w:ascii="Arial" w:hAnsi="Arial" w:cs="Arial"/>
        </w:rPr>
        <w:t>Achiziționarea</w:t>
      </w:r>
      <w:r w:rsidRPr="00C15BCC">
        <w:rPr>
          <w:rFonts w:ascii="Arial" w:hAnsi="Arial" w:cs="Arial"/>
        </w:rPr>
        <w:t xml:space="preserve"> a 100 de tramvaie”.  Contesta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ia este în curs de solu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ionare la Curtea de Apel a Tribunalului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ti.</w:t>
      </w:r>
    </w:p>
    <w:p w:rsidR="009E6317" w:rsidRPr="00C15BCC" w:rsidRDefault="009E6317" w:rsidP="009E6317">
      <w:pPr>
        <w:pStyle w:val="NoSpacing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>la Tribunalul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a fost depusă o ac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iune în instan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ă privind rezultatul atribuirii contractului ” </w:t>
      </w:r>
      <w:r w:rsidR="00650813" w:rsidRPr="00C15BCC">
        <w:rPr>
          <w:rFonts w:ascii="Arial" w:hAnsi="Arial" w:cs="Arial"/>
        </w:rPr>
        <w:t>Achiziționarea</w:t>
      </w:r>
      <w:r w:rsidRPr="00C15BCC">
        <w:rPr>
          <w:rFonts w:ascii="Arial" w:hAnsi="Arial" w:cs="Arial"/>
        </w:rPr>
        <w:t xml:space="preserve"> a 100 de troleibuze”.  Urmare solu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ionării plângerii, instan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 de judecată a respins ac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iunea  împotriva rezultatului procedurii de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ie publică. La data prezentei, contractul nu a fost încheiat întrucât. contestatarul a depus recurs împotriva hotărârii instan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ei de judecată.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 w:rsidRPr="00C15BCC">
        <w:rPr>
          <w:rFonts w:ascii="Arial" w:hAnsi="Arial" w:cs="Arial"/>
        </w:rPr>
        <w:t xml:space="preserve">  - au fost solu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ionate favorabil pentru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ti, contesta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iile privind rezultatul procedurii de atribuire pentru contractele:  Lucrări de semnalizare orizontală pe Traseul 1: Pia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 xml:space="preserve">a Victoriei - Bd. Aviatorilor - Bd. Beijing - Str. Nicolae Caramfil -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os. Pipera - Tronson I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Acord-cadru având ca obiect “Servicii de evaluare imobiliară a bunurilor imobile aflate în domeniul public/privat sau în administrarea Municipiului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 xml:space="preserve">ti, precum 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i a imobilelor care pot fi achizi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ionate de către Municipiul Bucure</w:t>
      </w:r>
      <w:r w:rsidR="00C15BCC">
        <w:rPr>
          <w:rFonts w:ascii="Arial" w:hAnsi="Arial" w:cs="Arial"/>
        </w:rPr>
        <w:t>ș</w:t>
      </w:r>
      <w:r w:rsidRPr="00C15BCC">
        <w:rPr>
          <w:rFonts w:ascii="Arial" w:hAnsi="Arial" w:cs="Arial"/>
        </w:rPr>
        <w:t>ti de pe pia</w:t>
      </w:r>
      <w:r w:rsidR="00C15BCC"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a liberă”</w:t>
      </w:r>
    </w:p>
    <w:p w:rsidR="009E6317" w:rsidRPr="00C15BCC" w:rsidRDefault="00650813" w:rsidP="009E6317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E6317" w:rsidRPr="00C15BCC">
        <w:rPr>
          <w:rFonts w:ascii="Arial" w:hAnsi="Arial" w:cs="Arial"/>
        </w:rPr>
        <w:t>Pentru aceste contesta</w:t>
      </w:r>
      <w:r w:rsidR="00C15BCC">
        <w:rPr>
          <w:rFonts w:ascii="Arial" w:hAnsi="Arial" w:cs="Arial"/>
        </w:rPr>
        <w:t>ț</w:t>
      </w:r>
      <w:r w:rsidR="009E6317" w:rsidRPr="00C15BCC">
        <w:rPr>
          <w:rFonts w:ascii="Arial" w:hAnsi="Arial" w:cs="Arial"/>
        </w:rPr>
        <w:t xml:space="preserve">ii au fost scanate, multiplicate, numerotate </w:t>
      </w:r>
      <w:r w:rsidR="007D18C6">
        <w:rPr>
          <w:rFonts w:ascii="Arial" w:hAnsi="Arial" w:cs="Arial"/>
        </w:rPr>
        <w:t>ș</w:t>
      </w:r>
      <w:r w:rsidR="009E6317" w:rsidRPr="00C15BCC">
        <w:rPr>
          <w:rFonts w:ascii="Arial" w:hAnsi="Arial" w:cs="Arial"/>
        </w:rPr>
        <w:t xml:space="preserve">i opisate un număr aproximativ 21.500 pagini reprezentând </w:t>
      </w:r>
      <w:r w:rsidRPr="00C15BCC">
        <w:rPr>
          <w:rFonts w:ascii="Arial" w:hAnsi="Arial" w:cs="Arial"/>
        </w:rPr>
        <w:t>documenta</w:t>
      </w:r>
      <w:r>
        <w:rPr>
          <w:rFonts w:ascii="Arial" w:hAnsi="Arial" w:cs="Arial"/>
        </w:rPr>
        <w:t>ț</w:t>
      </w:r>
      <w:r w:rsidRPr="00C15BCC">
        <w:rPr>
          <w:rFonts w:ascii="Arial" w:hAnsi="Arial" w:cs="Arial"/>
        </w:rPr>
        <w:t>ii</w:t>
      </w:r>
      <w:r w:rsidR="009E6317" w:rsidRPr="00C15BCC">
        <w:rPr>
          <w:rFonts w:ascii="Arial" w:hAnsi="Arial" w:cs="Arial"/>
        </w:rPr>
        <w:t xml:space="preserve"> depuse la </w:t>
      </w:r>
      <w:r w:rsidRPr="00C15BCC">
        <w:rPr>
          <w:rFonts w:ascii="Arial" w:hAnsi="Arial" w:cs="Arial"/>
        </w:rPr>
        <w:t>instanțe</w:t>
      </w:r>
      <w:r w:rsidR="009E6317" w:rsidRPr="00C15BCC">
        <w:rPr>
          <w:rFonts w:ascii="Arial" w:hAnsi="Arial" w:cs="Arial"/>
        </w:rPr>
        <w:t xml:space="preserve"> (CNSC si Curtea de Apel).</w:t>
      </w:r>
    </w:p>
    <w:p w:rsidR="009E6317" w:rsidRPr="00C15BCC" w:rsidRDefault="00650813" w:rsidP="00465512">
      <w:pPr>
        <w:spacing w:line="360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317" w:rsidRPr="00C15BCC">
        <w:rPr>
          <w:rFonts w:ascii="Arial" w:hAnsi="Arial" w:cs="Arial"/>
          <w:sz w:val="22"/>
          <w:szCs w:val="22"/>
        </w:rPr>
        <w:t xml:space="preserve"> La solicitarea  unor institu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 abilitate, au fost scanate, multiplicate, opisate</w:t>
      </w:r>
      <w:r w:rsidR="007D18C6">
        <w:rPr>
          <w:rFonts w:ascii="Arial" w:hAnsi="Arial" w:cs="Arial"/>
          <w:sz w:val="22"/>
          <w:szCs w:val="22"/>
        </w:rPr>
        <w:t xml:space="preserve"> </w:t>
      </w:r>
      <w:r w:rsidR="00C15BCC">
        <w:rPr>
          <w:rFonts w:ascii="Arial" w:hAnsi="Arial" w:cs="Arial"/>
          <w:sz w:val="22"/>
          <w:szCs w:val="22"/>
        </w:rPr>
        <w:t>ș</w:t>
      </w:r>
      <w:r w:rsidR="009E6317" w:rsidRPr="00C15BCC">
        <w:rPr>
          <w:rFonts w:ascii="Arial" w:hAnsi="Arial" w:cs="Arial"/>
          <w:sz w:val="22"/>
          <w:szCs w:val="22"/>
        </w:rPr>
        <w:t>i transmise documente suport  care au constituit dosarele achizi</w:t>
      </w:r>
      <w:r w:rsidR="00C15BCC">
        <w:rPr>
          <w:rFonts w:ascii="Arial" w:hAnsi="Arial" w:cs="Arial"/>
          <w:sz w:val="22"/>
          <w:szCs w:val="22"/>
        </w:rPr>
        <w:t>ț</w:t>
      </w:r>
      <w:r w:rsidR="009E6317" w:rsidRPr="00C15BCC">
        <w:rPr>
          <w:rFonts w:ascii="Arial" w:hAnsi="Arial" w:cs="Arial"/>
          <w:sz w:val="22"/>
          <w:szCs w:val="22"/>
        </w:rPr>
        <w:t>iilor publice derulate în anii anteriori, cca. 200.000 de pagini.</w:t>
      </w: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9E6317" w:rsidRPr="00C15BCC" w:rsidRDefault="009E6317" w:rsidP="009E6317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C15BCC">
        <w:rPr>
          <w:rFonts w:ascii="Arial" w:hAnsi="Arial" w:cs="Arial"/>
          <w:b/>
        </w:rPr>
        <w:t>Alte activită</w:t>
      </w:r>
      <w:r w:rsidR="00C15BCC">
        <w:rPr>
          <w:rFonts w:ascii="Arial" w:hAnsi="Arial" w:cs="Arial"/>
          <w:b/>
        </w:rPr>
        <w:t>ț</w:t>
      </w:r>
      <w:r w:rsidRPr="00C15BCC">
        <w:rPr>
          <w:rFonts w:ascii="Arial" w:hAnsi="Arial" w:cs="Arial"/>
          <w:b/>
        </w:rPr>
        <w:t>i desfă</w:t>
      </w:r>
      <w:r w:rsidR="00C15BCC">
        <w:rPr>
          <w:rFonts w:ascii="Arial" w:hAnsi="Arial" w:cs="Arial"/>
          <w:b/>
        </w:rPr>
        <w:t>ș</w:t>
      </w:r>
      <w:r w:rsidRPr="00C15BCC">
        <w:rPr>
          <w:rFonts w:ascii="Arial" w:hAnsi="Arial" w:cs="Arial"/>
          <w:b/>
        </w:rPr>
        <w:t>urate în cursul anului 2019</w:t>
      </w:r>
    </w:p>
    <w:p w:rsidR="009E6317" w:rsidRPr="00C15BCC" w:rsidRDefault="009E6317" w:rsidP="00DD6718">
      <w:pPr>
        <w:spacing w:after="160" w:line="360" w:lineRule="auto"/>
        <w:ind w:firstLine="708"/>
        <w:jc w:val="both"/>
        <w:rPr>
          <w:rFonts w:ascii="Arial" w:hAnsi="Arial" w:cs="Arial"/>
          <w:sz w:val="22"/>
          <w:szCs w:val="22"/>
          <w:lang w:eastAsia="ro-RO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>Cu privire la Decizia Primarului General nr. 652/23.04.2018 de aprobarea Planului de Integritate la nivelul PMB pentru implementarea Strategiei Na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ionale anticorup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ie, Direc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ia Generală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 Publice, prin Direc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ia Planificare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ii, Direc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ia Proceduri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Serviciul Monitorizare Derulare Contracte a  îndeplinit următoarele activită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i:</w:t>
      </w:r>
    </w:p>
    <w:p w:rsidR="009E6317" w:rsidRPr="00C15BCC" w:rsidRDefault="009E6317" w:rsidP="009E6317">
      <w:pPr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ro-RO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>referitor la asigurarea respectării prevederilor privind liberul acces la informa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 de interes public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a celor privind transparen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a procesului decizional potrivit Legii nr. 544/2001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Legii nr. 52/2003, au fost primite un număr de 35 solicitări, acestea fiind solu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ionate  conform competen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elor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prevederilor legale;</w:t>
      </w:r>
    </w:p>
    <w:p w:rsidR="009E6317" w:rsidRPr="00C15BCC" w:rsidRDefault="009E6317" w:rsidP="009E6317">
      <w:pPr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ro-RO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 xml:space="preserve">în cursul anului 2019, prin SICAP, </w:t>
      </w:r>
      <w:r w:rsidR="009E1E15">
        <w:rPr>
          <w:rFonts w:ascii="Arial" w:hAnsi="Arial" w:cs="Arial"/>
          <w:sz w:val="22"/>
          <w:szCs w:val="22"/>
          <w:lang w:eastAsia="ro-RO"/>
        </w:rPr>
        <w:t>s-au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 completat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 transmis 180 de formulare de integritate cu privire la factorii decizionali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80  de formulare de integritate aferente membrilor care au constituit comisiile de evaluare a procedurilor de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 publice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i, pentru care </w:t>
      </w:r>
      <w:r w:rsidRPr="00C15BCC">
        <w:rPr>
          <w:rFonts w:ascii="Arial" w:eastAsia="Calibri" w:hAnsi="Arial" w:cs="Arial"/>
          <w:sz w:val="22"/>
          <w:szCs w:val="22"/>
          <w:lang w:eastAsia="ro-RO"/>
        </w:rPr>
        <w:t>nu au existat situa</w:t>
      </w:r>
      <w:r w:rsidR="00C15BCC">
        <w:rPr>
          <w:rFonts w:ascii="Arial" w:eastAsia="Calibri" w:hAnsi="Arial" w:cs="Arial"/>
          <w:sz w:val="22"/>
          <w:szCs w:val="22"/>
          <w:lang w:eastAsia="ro-RO"/>
        </w:rPr>
        <w:t>ț</w:t>
      </w:r>
      <w:r w:rsidRPr="00C15BCC">
        <w:rPr>
          <w:rFonts w:ascii="Arial" w:eastAsia="Calibri" w:hAnsi="Arial" w:cs="Arial"/>
          <w:sz w:val="22"/>
          <w:szCs w:val="22"/>
          <w:lang w:eastAsia="ro-RO"/>
        </w:rPr>
        <w:t>ii în care să fi fost emis un avertisment de integritate de Sistemul PREVENT, gestionat de ANI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 .</w:t>
      </w:r>
    </w:p>
    <w:p w:rsidR="009E6317" w:rsidRPr="00C15BCC" w:rsidRDefault="009E6317" w:rsidP="009E6317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>-</w:t>
      </w:r>
      <w:r w:rsidRPr="00C15BCC">
        <w:rPr>
          <w:rFonts w:ascii="Arial" w:hAnsi="Arial" w:cs="Arial"/>
          <w:sz w:val="22"/>
          <w:szCs w:val="22"/>
          <w:lang w:eastAsia="ro-RO"/>
        </w:rPr>
        <w:tab/>
        <w:t>pentru facilitarea accesului la informa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 de interes public au fost transmise spre publicare Strategia Anuală de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 Publice, Programul Anual al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iilor Publice, Centralizatorul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iilor publice </w:t>
      </w:r>
    </w:p>
    <w:p w:rsidR="009E6317" w:rsidRPr="00C15BCC" w:rsidRDefault="009E6317" w:rsidP="009E6317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>-</w:t>
      </w:r>
      <w:r w:rsidRPr="00C15BCC">
        <w:rPr>
          <w:rFonts w:ascii="Arial" w:hAnsi="Arial" w:cs="Arial"/>
          <w:sz w:val="22"/>
          <w:szCs w:val="22"/>
          <w:lang w:eastAsia="ro-RO"/>
        </w:rPr>
        <w:tab/>
      </w:r>
      <w:r w:rsidR="00650813" w:rsidRPr="00C15BCC">
        <w:rPr>
          <w:rFonts w:ascii="Arial" w:hAnsi="Arial" w:cs="Arial"/>
          <w:sz w:val="22"/>
          <w:szCs w:val="22"/>
          <w:lang w:eastAsia="ro-RO"/>
        </w:rPr>
        <w:t>referitor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 la implementarea sistemului de control intern managerial, conform OSGG nr. 600/2018, au fost elaborate: PG-PMB-3.1.2.7. privind pregătirea contractului/ acordului-cadru/ contractului subsecvent de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ie publică pentru semnare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 asigurarea circuitului de avizare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aprobare internă a acestuia inclusiv a actului adi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ional (dacă este cazul), PS-PMB-2.3.4.N privind monitorizarea contractelor, PS-PMB-3.1.2.2 privind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iile directe, PS-PMB-3.1.2.1.d, versiunea 1 – elaborare strategie de contractare, PS-PMB-3.1.2.1.A – elaborare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actualizare strategie anuală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 publice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programul anual al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 xml:space="preserve">iilor publice, precum </w:t>
      </w:r>
      <w:r w:rsidR="00C15BCC">
        <w:rPr>
          <w:rFonts w:ascii="Arial" w:hAnsi="Arial" w:cs="Arial"/>
          <w:sz w:val="22"/>
          <w:szCs w:val="22"/>
          <w:lang w:eastAsia="ro-RO"/>
        </w:rPr>
        <w:t>ș</w:t>
      </w:r>
      <w:r w:rsidRPr="00C15BCC">
        <w:rPr>
          <w:rFonts w:ascii="Arial" w:hAnsi="Arial" w:cs="Arial"/>
          <w:sz w:val="22"/>
          <w:szCs w:val="22"/>
          <w:lang w:eastAsia="ro-RO"/>
        </w:rPr>
        <w:t>i instruc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iuni de lucru interne, aferente.</w:t>
      </w:r>
    </w:p>
    <w:p w:rsidR="009E6317" w:rsidRPr="00C15BCC" w:rsidRDefault="009E6317" w:rsidP="00650813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C15BCC">
        <w:rPr>
          <w:rFonts w:ascii="Arial" w:hAnsi="Arial" w:cs="Arial"/>
          <w:sz w:val="22"/>
          <w:szCs w:val="22"/>
          <w:lang w:eastAsia="ro-RO"/>
        </w:rPr>
        <w:t xml:space="preserve">      Cele prezentate mai sus reprezintă activitatea de bază potrivit atribu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iilor, personalul DGAP asigurând pe tot parcursul anului 2019, suport consultativ de specialitate în vederea instrumentării cu celeritate a tuturor etapelor aferente proceselor de achizi</w:t>
      </w:r>
      <w:r w:rsidR="00C15BCC">
        <w:rPr>
          <w:rFonts w:ascii="Arial" w:hAnsi="Arial" w:cs="Arial"/>
          <w:sz w:val="22"/>
          <w:szCs w:val="22"/>
          <w:lang w:eastAsia="ro-RO"/>
        </w:rPr>
        <w:t>ț</w:t>
      </w:r>
      <w:r w:rsidRPr="00C15BCC">
        <w:rPr>
          <w:rFonts w:ascii="Arial" w:hAnsi="Arial" w:cs="Arial"/>
          <w:sz w:val="22"/>
          <w:szCs w:val="22"/>
          <w:lang w:eastAsia="ro-RO"/>
        </w:rPr>
        <w:t>ie publică.</w:t>
      </w:r>
    </w:p>
    <w:p w:rsidR="00DF7CA8" w:rsidRPr="00C15BCC" w:rsidRDefault="00DF7CA8" w:rsidP="009E631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F7CA8" w:rsidRPr="00C15BCC" w:rsidSect="00844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268" w:bottom="1418" w:left="1418" w:header="142" w:footer="525" w:gutter="0"/>
      <w:pgNumType w:start="8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D7" w:rsidRDefault="005E28D7" w:rsidP="003422F9">
      <w:r>
        <w:separator/>
      </w:r>
    </w:p>
  </w:endnote>
  <w:endnote w:type="continuationSeparator" w:id="1">
    <w:p w:rsidR="005E28D7" w:rsidRDefault="005E28D7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E3" w:rsidRDefault="008449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1393"/>
      <w:docPartObj>
        <w:docPartGallery w:val="Page Numbers (Bottom of Page)"/>
        <w:docPartUnique/>
      </w:docPartObj>
    </w:sdtPr>
    <w:sdtContent>
      <w:p w:rsidR="008449E3" w:rsidRDefault="00005965">
        <w:pPr>
          <w:pStyle w:val="Footer"/>
          <w:jc w:val="right"/>
        </w:pPr>
        <w:fldSimple w:instr=" PAGE   \* MERGEFORMAT ">
          <w:r w:rsidR="007D18C6">
            <w:rPr>
              <w:noProof/>
            </w:rPr>
            <w:t>903</w:t>
          </w:r>
        </w:fldSimple>
      </w:p>
    </w:sdtContent>
  </w:sdt>
  <w:p w:rsidR="00C15BCC" w:rsidRDefault="00C15B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1391"/>
      <w:docPartObj>
        <w:docPartGallery w:val="Page Numbers (Bottom of Page)"/>
        <w:docPartUnique/>
      </w:docPartObj>
    </w:sdtPr>
    <w:sdtContent>
      <w:p w:rsidR="008449E3" w:rsidRDefault="00005965">
        <w:pPr>
          <w:pStyle w:val="Footer"/>
          <w:jc w:val="right"/>
        </w:pPr>
        <w:r w:rsidRPr="008449E3">
          <w:rPr>
            <w:rFonts w:ascii="Times New Roman" w:hAnsi="Times New Roman"/>
          </w:rPr>
          <w:fldChar w:fldCharType="begin"/>
        </w:r>
        <w:r w:rsidR="008449E3" w:rsidRPr="008449E3">
          <w:rPr>
            <w:rFonts w:ascii="Times New Roman" w:hAnsi="Times New Roman"/>
          </w:rPr>
          <w:instrText xml:space="preserve"> PAGE   \* MERGEFORMAT </w:instrText>
        </w:r>
        <w:r w:rsidRPr="008449E3">
          <w:rPr>
            <w:rFonts w:ascii="Times New Roman" w:hAnsi="Times New Roman"/>
          </w:rPr>
          <w:fldChar w:fldCharType="separate"/>
        </w:r>
        <w:r w:rsidR="007D18C6">
          <w:rPr>
            <w:rFonts w:ascii="Times New Roman" w:hAnsi="Times New Roman"/>
            <w:noProof/>
          </w:rPr>
          <w:t>895</w:t>
        </w:r>
        <w:r w:rsidRPr="008449E3">
          <w:rPr>
            <w:rFonts w:ascii="Times New Roman" w:hAnsi="Times New Roman"/>
          </w:rPr>
          <w:fldChar w:fldCharType="end"/>
        </w:r>
      </w:p>
    </w:sdtContent>
  </w:sdt>
  <w:p w:rsidR="008449E3" w:rsidRDefault="00844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D7" w:rsidRDefault="005E28D7" w:rsidP="003422F9">
      <w:r>
        <w:separator/>
      </w:r>
    </w:p>
  </w:footnote>
  <w:footnote w:type="continuationSeparator" w:id="1">
    <w:p w:rsidR="005E28D7" w:rsidRDefault="005E28D7" w:rsidP="0034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E3" w:rsidRDefault="00844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E3" w:rsidRDefault="008449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E3" w:rsidRDefault="00844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BD"/>
    <w:multiLevelType w:val="hybridMultilevel"/>
    <w:tmpl w:val="7AE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27C"/>
    <w:multiLevelType w:val="hybridMultilevel"/>
    <w:tmpl w:val="0D361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2CB"/>
    <w:multiLevelType w:val="multilevel"/>
    <w:tmpl w:val="4888DA3E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EA1"/>
    <w:multiLevelType w:val="hybridMultilevel"/>
    <w:tmpl w:val="AD4A70EC"/>
    <w:lvl w:ilvl="0" w:tplc="A20AD298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1697C"/>
    <w:multiLevelType w:val="hybridMultilevel"/>
    <w:tmpl w:val="20060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3459"/>
    <w:multiLevelType w:val="hybridMultilevel"/>
    <w:tmpl w:val="1F845870"/>
    <w:lvl w:ilvl="0" w:tplc="041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046058C"/>
    <w:multiLevelType w:val="hybridMultilevel"/>
    <w:tmpl w:val="AA668AC6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33455"/>
    <w:multiLevelType w:val="hybridMultilevel"/>
    <w:tmpl w:val="54F6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171"/>
    <w:multiLevelType w:val="hybridMultilevel"/>
    <w:tmpl w:val="C8EA3BA6"/>
    <w:lvl w:ilvl="0" w:tplc="04180001">
      <w:start w:val="1"/>
      <w:numFmt w:val="bullet"/>
      <w:lvlText w:val=""/>
      <w:lvlJc w:val="left"/>
      <w:pPr>
        <w:ind w:left="220" w:hanging="720"/>
      </w:pPr>
      <w:rPr>
        <w:rFonts w:ascii="Symbol" w:hAnsi="Symbol" w:hint="default"/>
        <w:spacing w:val="-29"/>
        <w:w w:val="100"/>
        <w:lang w:val="ro-RO" w:eastAsia="ro-RO" w:bidi="ro-RO"/>
      </w:rPr>
    </w:lvl>
    <w:lvl w:ilvl="1" w:tplc="041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pacing w:val="-4"/>
        <w:w w:val="100"/>
        <w:sz w:val="24"/>
        <w:szCs w:val="24"/>
        <w:lang w:val="ro-RO" w:eastAsia="ro-RO" w:bidi="ro-RO"/>
      </w:rPr>
    </w:lvl>
    <w:lvl w:ilvl="2" w:tplc="9F0AB99E">
      <w:numFmt w:val="bullet"/>
      <w:lvlText w:val="•"/>
      <w:lvlJc w:val="left"/>
      <w:pPr>
        <w:ind w:left="1460" w:hanging="360"/>
      </w:pPr>
      <w:rPr>
        <w:lang w:val="ro-RO" w:eastAsia="ro-RO" w:bidi="ro-RO"/>
      </w:rPr>
    </w:lvl>
    <w:lvl w:ilvl="3" w:tplc="8F4E3D1A">
      <w:numFmt w:val="bullet"/>
      <w:lvlText w:val="•"/>
      <w:lvlJc w:val="left"/>
      <w:pPr>
        <w:ind w:left="2560" w:hanging="360"/>
      </w:pPr>
      <w:rPr>
        <w:lang w:val="ro-RO" w:eastAsia="ro-RO" w:bidi="ro-RO"/>
      </w:rPr>
    </w:lvl>
    <w:lvl w:ilvl="4" w:tplc="6D98C980">
      <w:numFmt w:val="bullet"/>
      <w:lvlText w:val="•"/>
      <w:lvlJc w:val="left"/>
      <w:pPr>
        <w:ind w:left="3661" w:hanging="360"/>
      </w:pPr>
      <w:rPr>
        <w:lang w:val="ro-RO" w:eastAsia="ro-RO" w:bidi="ro-RO"/>
      </w:rPr>
    </w:lvl>
    <w:lvl w:ilvl="5" w:tplc="C6342B2A">
      <w:numFmt w:val="bullet"/>
      <w:lvlText w:val="•"/>
      <w:lvlJc w:val="left"/>
      <w:pPr>
        <w:ind w:left="4762" w:hanging="360"/>
      </w:pPr>
      <w:rPr>
        <w:lang w:val="ro-RO" w:eastAsia="ro-RO" w:bidi="ro-RO"/>
      </w:rPr>
    </w:lvl>
    <w:lvl w:ilvl="6" w:tplc="664E14EC">
      <w:numFmt w:val="bullet"/>
      <w:lvlText w:val="•"/>
      <w:lvlJc w:val="left"/>
      <w:pPr>
        <w:ind w:left="5863" w:hanging="360"/>
      </w:pPr>
      <w:rPr>
        <w:lang w:val="ro-RO" w:eastAsia="ro-RO" w:bidi="ro-RO"/>
      </w:rPr>
    </w:lvl>
    <w:lvl w:ilvl="7" w:tplc="0B5059C6">
      <w:numFmt w:val="bullet"/>
      <w:lvlText w:val="•"/>
      <w:lvlJc w:val="left"/>
      <w:pPr>
        <w:ind w:left="6964" w:hanging="360"/>
      </w:pPr>
      <w:rPr>
        <w:lang w:val="ro-RO" w:eastAsia="ro-RO" w:bidi="ro-RO"/>
      </w:rPr>
    </w:lvl>
    <w:lvl w:ilvl="8" w:tplc="5E7045C8">
      <w:numFmt w:val="bullet"/>
      <w:lvlText w:val="•"/>
      <w:lvlJc w:val="left"/>
      <w:pPr>
        <w:ind w:left="8064" w:hanging="360"/>
      </w:pPr>
      <w:rPr>
        <w:lang w:val="ro-RO" w:eastAsia="ro-RO" w:bidi="ro-RO"/>
      </w:rPr>
    </w:lvl>
  </w:abstractNum>
  <w:abstractNum w:abstractNumId="9">
    <w:nsid w:val="2452247E"/>
    <w:multiLevelType w:val="hybridMultilevel"/>
    <w:tmpl w:val="4FBE9812"/>
    <w:lvl w:ilvl="0" w:tplc="82989A06">
      <w:start w:val="1"/>
      <w:numFmt w:val="lowerRoman"/>
      <w:lvlText w:val="%1)"/>
      <w:lvlJc w:val="left"/>
      <w:pPr>
        <w:ind w:left="1638" w:hanging="348"/>
      </w:pPr>
      <w:rPr>
        <w:rFonts w:ascii="Trebuchet MS" w:eastAsia="Trebuchet MS" w:hAnsi="Trebuchet MS" w:cs="Trebuchet MS" w:hint="default"/>
        <w:spacing w:val="-27"/>
        <w:w w:val="100"/>
        <w:sz w:val="24"/>
        <w:szCs w:val="24"/>
        <w:lang w:val="ro-RO" w:eastAsia="ro-RO" w:bidi="ro-RO"/>
      </w:rPr>
    </w:lvl>
    <w:lvl w:ilvl="1" w:tplc="50809CC0">
      <w:numFmt w:val="bullet"/>
      <w:lvlText w:val="•"/>
      <w:lvlJc w:val="left"/>
      <w:pPr>
        <w:ind w:left="2502" w:hanging="348"/>
      </w:pPr>
      <w:rPr>
        <w:lang w:val="ro-RO" w:eastAsia="ro-RO" w:bidi="ro-RO"/>
      </w:rPr>
    </w:lvl>
    <w:lvl w:ilvl="2" w:tplc="EEAE32BC">
      <w:numFmt w:val="bullet"/>
      <w:lvlText w:val="•"/>
      <w:lvlJc w:val="left"/>
      <w:pPr>
        <w:ind w:left="3365" w:hanging="348"/>
      </w:pPr>
      <w:rPr>
        <w:lang w:val="ro-RO" w:eastAsia="ro-RO" w:bidi="ro-RO"/>
      </w:rPr>
    </w:lvl>
    <w:lvl w:ilvl="3" w:tplc="BDB6609E">
      <w:numFmt w:val="bullet"/>
      <w:lvlText w:val="•"/>
      <w:lvlJc w:val="left"/>
      <w:pPr>
        <w:ind w:left="4227" w:hanging="348"/>
      </w:pPr>
      <w:rPr>
        <w:lang w:val="ro-RO" w:eastAsia="ro-RO" w:bidi="ro-RO"/>
      </w:rPr>
    </w:lvl>
    <w:lvl w:ilvl="4" w:tplc="006EBBA2">
      <w:numFmt w:val="bullet"/>
      <w:lvlText w:val="•"/>
      <w:lvlJc w:val="left"/>
      <w:pPr>
        <w:ind w:left="5090" w:hanging="348"/>
      </w:pPr>
      <w:rPr>
        <w:lang w:val="ro-RO" w:eastAsia="ro-RO" w:bidi="ro-RO"/>
      </w:rPr>
    </w:lvl>
    <w:lvl w:ilvl="5" w:tplc="C11ABD1C">
      <w:numFmt w:val="bullet"/>
      <w:lvlText w:val="•"/>
      <w:lvlJc w:val="left"/>
      <w:pPr>
        <w:ind w:left="5953" w:hanging="348"/>
      </w:pPr>
      <w:rPr>
        <w:lang w:val="ro-RO" w:eastAsia="ro-RO" w:bidi="ro-RO"/>
      </w:rPr>
    </w:lvl>
    <w:lvl w:ilvl="6" w:tplc="8940F9F0">
      <w:numFmt w:val="bullet"/>
      <w:lvlText w:val="•"/>
      <w:lvlJc w:val="left"/>
      <w:pPr>
        <w:ind w:left="6815" w:hanging="348"/>
      </w:pPr>
      <w:rPr>
        <w:lang w:val="ro-RO" w:eastAsia="ro-RO" w:bidi="ro-RO"/>
      </w:rPr>
    </w:lvl>
    <w:lvl w:ilvl="7" w:tplc="0F6CDD02">
      <w:numFmt w:val="bullet"/>
      <w:lvlText w:val="•"/>
      <w:lvlJc w:val="left"/>
      <w:pPr>
        <w:ind w:left="7678" w:hanging="348"/>
      </w:pPr>
      <w:rPr>
        <w:lang w:val="ro-RO" w:eastAsia="ro-RO" w:bidi="ro-RO"/>
      </w:rPr>
    </w:lvl>
    <w:lvl w:ilvl="8" w:tplc="1EA2B7B6">
      <w:numFmt w:val="bullet"/>
      <w:lvlText w:val="•"/>
      <w:lvlJc w:val="left"/>
      <w:pPr>
        <w:ind w:left="8541" w:hanging="348"/>
      </w:pPr>
      <w:rPr>
        <w:lang w:val="ro-RO" w:eastAsia="ro-RO" w:bidi="ro-RO"/>
      </w:rPr>
    </w:lvl>
  </w:abstractNum>
  <w:abstractNum w:abstractNumId="10">
    <w:nsid w:val="26A71602"/>
    <w:multiLevelType w:val="hybridMultilevel"/>
    <w:tmpl w:val="F9280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4408E"/>
    <w:multiLevelType w:val="hybridMultilevel"/>
    <w:tmpl w:val="6C9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952B9"/>
    <w:multiLevelType w:val="hybridMultilevel"/>
    <w:tmpl w:val="9D425484"/>
    <w:lvl w:ilvl="0" w:tplc="041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B3267B8"/>
    <w:multiLevelType w:val="hybridMultilevel"/>
    <w:tmpl w:val="71AC2DC6"/>
    <w:lvl w:ilvl="0" w:tplc="D780C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3D44"/>
    <w:multiLevelType w:val="hybridMultilevel"/>
    <w:tmpl w:val="2174B0EA"/>
    <w:lvl w:ilvl="0" w:tplc="041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2FA51517"/>
    <w:multiLevelType w:val="hybridMultilevel"/>
    <w:tmpl w:val="EBD61FD6"/>
    <w:lvl w:ilvl="0" w:tplc="A6024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B02AD"/>
    <w:multiLevelType w:val="hybridMultilevel"/>
    <w:tmpl w:val="B71066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166F60"/>
    <w:multiLevelType w:val="hybridMultilevel"/>
    <w:tmpl w:val="8CEC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A67E6"/>
    <w:multiLevelType w:val="hybridMultilevel"/>
    <w:tmpl w:val="4D16A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C22284"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51CC4"/>
    <w:multiLevelType w:val="hybridMultilevel"/>
    <w:tmpl w:val="DB644A2E"/>
    <w:lvl w:ilvl="0" w:tplc="04180001">
      <w:start w:val="1"/>
      <w:numFmt w:val="bullet"/>
      <w:lvlText w:val=""/>
      <w:lvlJc w:val="left"/>
      <w:pPr>
        <w:ind w:left="1510" w:hanging="720"/>
      </w:pPr>
      <w:rPr>
        <w:rFonts w:ascii="Symbol" w:hAnsi="Symbol" w:hint="default"/>
        <w:spacing w:val="-29"/>
        <w:w w:val="100"/>
        <w:lang w:val="ro-RO" w:eastAsia="ro-RO" w:bidi="ro-RO"/>
      </w:rPr>
    </w:lvl>
    <w:lvl w:ilvl="1" w:tplc="0418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>
    <w:nsid w:val="397631CF"/>
    <w:multiLevelType w:val="hybridMultilevel"/>
    <w:tmpl w:val="B9547C30"/>
    <w:lvl w:ilvl="0" w:tplc="DE7CBD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177DE2"/>
    <w:multiLevelType w:val="hybridMultilevel"/>
    <w:tmpl w:val="340AA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2AF2"/>
    <w:multiLevelType w:val="hybridMultilevel"/>
    <w:tmpl w:val="A32E871E"/>
    <w:lvl w:ilvl="0" w:tplc="93906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E2D23"/>
    <w:multiLevelType w:val="hybridMultilevel"/>
    <w:tmpl w:val="1ECA6FC2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C6513E8"/>
    <w:multiLevelType w:val="hybridMultilevel"/>
    <w:tmpl w:val="6E4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E1175"/>
    <w:multiLevelType w:val="hybridMultilevel"/>
    <w:tmpl w:val="3C48F70C"/>
    <w:lvl w:ilvl="0" w:tplc="72FA7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706AE"/>
    <w:multiLevelType w:val="hybridMultilevel"/>
    <w:tmpl w:val="DB62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33105"/>
    <w:multiLevelType w:val="hybridMultilevel"/>
    <w:tmpl w:val="7D3CDC00"/>
    <w:lvl w:ilvl="0" w:tplc="565446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46B6F"/>
    <w:multiLevelType w:val="hybridMultilevel"/>
    <w:tmpl w:val="A56EE6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92B26"/>
    <w:multiLevelType w:val="hybridMultilevel"/>
    <w:tmpl w:val="4C1AF8BC"/>
    <w:lvl w:ilvl="0" w:tplc="041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9E720DD"/>
    <w:multiLevelType w:val="hybridMultilevel"/>
    <w:tmpl w:val="9A7ACC92"/>
    <w:lvl w:ilvl="0" w:tplc="CC56A0FE">
      <w:numFmt w:val="bullet"/>
      <w:lvlText w:val="-"/>
      <w:lvlJc w:val="left"/>
      <w:pPr>
        <w:ind w:left="1170" w:hanging="360"/>
      </w:pPr>
      <w:rPr>
        <w:rFonts w:ascii="Times New Roman" w:eastAsia="Trebuchet MS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CFA03E8"/>
    <w:multiLevelType w:val="hybridMultilevel"/>
    <w:tmpl w:val="1680852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F6B52"/>
    <w:multiLevelType w:val="hybridMultilevel"/>
    <w:tmpl w:val="CD2A3C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15F53"/>
    <w:multiLevelType w:val="hybridMultilevel"/>
    <w:tmpl w:val="6A14F7E6"/>
    <w:lvl w:ilvl="0" w:tplc="565446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13F55"/>
    <w:multiLevelType w:val="multilevel"/>
    <w:tmpl w:val="AF9C81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>
    <w:nsid w:val="77350A32"/>
    <w:multiLevelType w:val="hybridMultilevel"/>
    <w:tmpl w:val="88DA803C"/>
    <w:lvl w:ilvl="0" w:tplc="C17E9C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363C3"/>
    <w:multiLevelType w:val="hybridMultilevel"/>
    <w:tmpl w:val="1F3CBF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47A53"/>
    <w:multiLevelType w:val="hybridMultilevel"/>
    <w:tmpl w:val="029EAFE8"/>
    <w:lvl w:ilvl="0" w:tplc="C1EAA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3"/>
  </w:num>
  <w:num w:numId="5">
    <w:abstractNumId w:val="10"/>
  </w:num>
  <w:num w:numId="6">
    <w:abstractNumId w:val="24"/>
  </w:num>
  <w:num w:numId="7">
    <w:abstractNumId w:val="0"/>
  </w:num>
  <w:num w:numId="8">
    <w:abstractNumId w:val="15"/>
  </w:num>
  <w:num w:numId="9">
    <w:abstractNumId w:val="31"/>
  </w:num>
  <w:num w:numId="10">
    <w:abstractNumId w:val="16"/>
  </w:num>
  <w:num w:numId="11">
    <w:abstractNumId w:val="1"/>
  </w:num>
  <w:num w:numId="12">
    <w:abstractNumId w:val="36"/>
  </w:num>
  <w:num w:numId="13">
    <w:abstractNumId w:val="4"/>
  </w:num>
  <w:num w:numId="14">
    <w:abstractNumId w:val="22"/>
  </w:num>
  <w:num w:numId="15">
    <w:abstractNumId w:val="19"/>
  </w:num>
  <w:num w:numId="16">
    <w:abstractNumId w:val="30"/>
  </w:num>
  <w:num w:numId="17">
    <w:abstractNumId w:val="14"/>
  </w:num>
  <w:num w:numId="18">
    <w:abstractNumId w:va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20"/>
  </w:num>
  <w:num w:numId="22">
    <w:abstractNumId w:val="21"/>
  </w:num>
  <w:num w:numId="23">
    <w:abstractNumId w:val="7"/>
  </w:num>
  <w:num w:numId="24">
    <w:abstractNumId w:val="6"/>
  </w:num>
  <w:num w:numId="25">
    <w:abstractNumId w:val="29"/>
  </w:num>
  <w:num w:numId="26">
    <w:abstractNumId w:val="32"/>
  </w:num>
  <w:num w:numId="27">
    <w:abstractNumId w:val="23"/>
  </w:num>
  <w:num w:numId="28">
    <w:abstractNumId w:val="12"/>
  </w:num>
  <w:num w:numId="29">
    <w:abstractNumId w:val="5"/>
  </w:num>
  <w:num w:numId="30">
    <w:abstractNumId w:val="17"/>
  </w:num>
  <w:num w:numId="31">
    <w:abstractNumId w:val="26"/>
  </w:num>
  <w:num w:numId="32">
    <w:abstractNumId w:val="11"/>
  </w:num>
  <w:num w:numId="33">
    <w:abstractNumId w:val="35"/>
  </w:num>
  <w:num w:numId="34">
    <w:abstractNumId w:val="3"/>
  </w:num>
  <w:num w:numId="35">
    <w:abstractNumId w:val="34"/>
  </w:num>
  <w:num w:numId="36">
    <w:abstractNumId w:val="33"/>
  </w:num>
  <w:num w:numId="37">
    <w:abstractNumId w:val="27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005965"/>
    <w:rsid w:val="001542A2"/>
    <w:rsid w:val="00200A5F"/>
    <w:rsid w:val="002D763C"/>
    <w:rsid w:val="002E4EBC"/>
    <w:rsid w:val="003328E2"/>
    <w:rsid w:val="003422F9"/>
    <w:rsid w:val="00351B3A"/>
    <w:rsid w:val="0036742F"/>
    <w:rsid w:val="0038457B"/>
    <w:rsid w:val="003A61D0"/>
    <w:rsid w:val="003B2B31"/>
    <w:rsid w:val="003E6DA6"/>
    <w:rsid w:val="00465512"/>
    <w:rsid w:val="0046635E"/>
    <w:rsid w:val="00492F9F"/>
    <w:rsid w:val="004E749F"/>
    <w:rsid w:val="00551CA1"/>
    <w:rsid w:val="005E28D7"/>
    <w:rsid w:val="00650813"/>
    <w:rsid w:val="00786ECE"/>
    <w:rsid w:val="007D18C6"/>
    <w:rsid w:val="008372C8"/>
    <w:rsid w:val="008449E3"/>
    <w:rsid w:val="008637E9"/>
    <w:rsid w:val="00871E8D"/>
    <w:rsid w:val="00891B51"/>
    <w:rsid w:val="008B1CBC"/>
    <w:rsid w:val="00922AB5"/>
    <w:rsid w:val="00964FC4"/>
    <w:rsid w:val="009E1E15"/>
    <w:rsid w:val="009E6317"/>
    <w:rsid w:val="00A229DF"/>
    <w:rsid w:val="00A606CA"/>
    <w:rsid w:val="00A976EC"/>
    <w:rsid w:val="00AB6949"/>
    <w:rsid w:val="00AB7EE8"/>
    <w:rsid w:val="00B52DAE"/>
    <w:rsid w:val="00C15BCC"/>
    <w:rsid w:val="00CB1941"/>
    <w:rsid w:val="00D03E74"/>
    <w:rsid w:val="00D20E8B"/>
    <w:rsid w:val="00D43B17"/>
    <w:rsid w:val="00DB26E1"/>
    <w:rsid w:val="00DD6718"/>
    <w:rsid w:val="00DF7CA8"/>
    <w:rsid w:val="00E153CA"/>
    <w:rsid w:val="00EA3497"/>
    <w:rsid w:val="00ED3896"/>
    <w:rsid w:val="00EE7432"/>
    <w:rsid w:val="00F9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3422F9"/>
    <w:rPr>
      <w:b/>
      <w:bCs/>
    </w:rPr>
  </w:style>
  <w:style w:type="paragraph" w:styleId="NoSpacing">
    <w:name w:val="No Spacing"/>
    <w:link w:val="NoSpacingChar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3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E63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3482</Words>
  <Characters>19848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5</cp:revision>
  <dcterms:created xsi:type="dcterms:W3CDTF">2020-06-27T19:52:00Z</dcterms:created>
  <dcterms:modified xsi:type="dcterms:W3CDTF">2020-07-01T18:36:00Z</dcterms:modified>
</cp:coreProperties>
</file>